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jc w:val="left"/>
      </w:pPr>
      <w:r>
        <w:drawing>
          <wp:inline xmlns:a="http://schemas.openxmlformats.org/drawingml/2006/main" xmlns:pic="http://schemas.openxmlformats.org/drawingml/2006/picture">
            <wp:extent cx="1280160" cy="859732"/>
            <wp:docPr id="1" name="Picture 1"/>
            <wp:cNvGraphicFramePr>
              <a:graphicFrameLocks noChangeAspect="1"/>
            </wp:cNvGraphicFramePr>
            <a:graphic>
              <a:graphicData uri="http://schemas.openxmlformats.org/drawingml/2006/picture">
                <pic:pic>
                  <pic:nvPicPr>
                    <pic:cNvPr id="0" name="Logo.jpg"/>
                    <pic:cNvPicPr/>
                  </pic:nvPicPr>
                  <pic:blipFill>
                    <a:blip r:embed="rId9"/>
                    <a:stretch>
                      <a:fillRect/>
                    </a:stretch>
                  </pic:blipFill>
                  <pic:spPr>
                    <a:xfrm>
                      <a:off x="0" y="0"/>
                      <a:ext cx="1280160" cy="859732"/>
                    </a:xfrm>
                    <a:prstGeom prst="rect"/>
                  </pic:spPr>
                </pic:pic>
              </a:graphicData>
            </a:graphic>
          </wp:inline>
        </w:drawing>
      </w:r>
    </w:p>
    <w:p>
      <w:pPr>
        <w:keepNext w:val="0"/>
        <w:spacing w:before="0" w:after="200" w:line="283" w:lineRule="auto"/>
        <w:jc w:val="left"/>
      </w:pPr>
      <w:r>
        <w:rPr>
          <w:rFonts w:ascii="Arial" w:hAnsi="Arial"/>
          <w:b/>
          <w:i w:val="0"/>
          <w:color w:val="00B8D9"/>
          <w:sz w:val="18"/>
        </w:rPr>
        <w:t>PRACTICAL PROCUREMENT FRAMEWORK</w:t>
      </w:r>
    </w:p>
    <w:p>
      <w:pPr>
        <w:keepNext/>
        <w:spacing w:before="0" w:after="160" w:line="245" w:lineRule="auto"/>
        <w:jc w:val="left"/>
      </w:pPr>
      <w:r>
        <w:rPr>
          <w:rFonts w:ascii="Arial" w:hAnsi="Arial"/>
          <w:b/>
          <w:i w:val="0"/>
          <w:color w:val="0B1E45"/>
          <w:sz w:val="58"/>
        </w:rPr>
        <w:t>The Enterprise Technology</w:t>
        <w:br/>
        <w:t>RFP Template</w:t>
      </w:r>
    </w:p>
    <w:p>
      <w:pPr>
        <w:keepNext w:val="0"/>
        <w:spacing w:before="0" w:after="360" w:line="283" w:lineRule="auto"/>
        <w:jc w:val="left"/>
      </w:pPr>
      <w:r>
        <w:rPr>
          <w:rFonts w:ascii="Arial" w:hAnsi="Arial"/>
          <w:b w:val="0"/>
          <w:i w:val="0"/>
          <w:color w:val="41506E"/>
          <w:sz w:val="28"/>
        </w:rPr>
        <w:t>A MoSCoW-structured framework for cybersecurity, AI and enterprise IT procurement</w:t>
      </w:r>
    </w:p>
    <w:p>
      <w:pPr>
        <w:spacing w:after="280"/>
      </w:pPr>
      <w:r>
        <w:drawing>
          <wp:inline xmlns:a="http://schemas.openxmlformats.org/drawingml/2006/main" xmlns:pic="http://schemas.openxmlformats.org/drawingml/2006/picture">
            <wp:extent cx="6035040" cy="3396515"/>
            <wp:docPr id="2" name="Picture 2"/>
            <wp:cNvGraphicFramePr>
              <a:graphicFrameLocks noChangeAspect="1"/>
            </wp:cNvGraphicFramePr>
            <a:graphic>
              <a:graphicData uri="http://schemas.openxmlformats.org/drawingml/2006/picture">
                <pic:pic>
                  <pic:nvPicPr>
                    <pic:cNvPr id="0" name="cyborium-rfp-decision-instrument-hero.png"/>
                    <pic:cNvPicPr/>
                  </pic:nvPicPr>
                  <pic:blipFill>
                    <a:blip r:embed="rId10"/>
                    <a:stretch>
                      <a:fillRect/>
                    </a:stretch>
                  </pic:blipFill>
                  <pic:spPr>
                    <a:xfrm>
                      <a:off x="0" y="0"/>
                      <a:ext cx="6035040" cy="3396515"/>
                    </a:xfrm>
                    <a:prstGeom prst="rect"/>
                  </pic:spPr>
                </pic:pic>
              </a:graphicData>
            </a:graphic>
          </wp:inline>
        </w:drawing>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shd w:fill="F2F7FC"/>
          </w:tcPr>
          <w:p>
            <w:pPr>
              <w:keepNext w:val="0"/>
              <w:spacing w:before="0" w:after="0" w:line="281" w:lineRule="auto"/>
            </w:pPr>
            <w:r>
              <w:rPr>
                <w:rFonts w:ascii="Arial" w:hAnsi="Arial"/>
                <w:b/>
                <w:color w:val="00B8D9"/>
                <w:sz w:val="17"/>
              </w:rPr>
              <w:t xml:space="preserve">PURPOSE  </w:t>
            </w:r>
            <w:r>
              <w:rPr>
                <w:rFonts w:ascii="Arial" w:hAnsi="Arial"/>
                <w:color w:val="0B1428"/>
                <w:sz w:val="20"/>
              </w:rPr>
              <w:t>Use this working document to define scope, prioritise requirements, require comparable evidence, score responses and preserve a defensible decision record.</w:t>
            </w:r>
          </w:p>
        </w:tc>
      </w:tr>
    </w:tbl>
    <w:p>
      <w:pPr>
        <w:spacing w:after="20"/>
      </w:pPr>
    </w:p>
    <w:p>
      <w:pPr>
        <w:keepNext w:val="0"/>
        <w:spacing w:before="160" w:after="60" w:line="283" w:lineRule="auto"/>
        <w:jc w:val="left"/>
      </w:pPr>
      <w:r>
        <w:rPr>
          <w:rFonts w:ascii="Arial" w:hAnsi="Arial"/>
          <w:b/>
          <w:i w:val="0"/>
          <w:color w:val="41506E"/>
          <w:sz w:val="17"/>
        </w:rPr>
        <w:t>Independent evaluation  |  Zero fee to the client  |  Selected provider pays a capped fee</w:t>
      </w:r>
    </w:p>
    <w:p>
      <w:pPr>
        <w:keepNext w:val="0"/>
        <w:spacing w:before="0" w:after="0" w:line="283" w:lineRule="auto"/>
        <w:jc w:val="left"/>
      </w:pPr>
      <w:r>
        <w:rPr>
          <w:rFonts w:ascii="Arial" w:hAnsi="Arial"/>
          <w:b w:val="0"/>
          <w:i w:val="0"/>
          <w:color w:val="41506E"/>
          <w:sz w:val="16"/>
        </w:rPr>
        <w:t>Your organisation contracts directly with the selected provider. CYBORIUM does not sell, deliver, operate or invoice technology.</w:t>
      </w:r>
    </w:p>
    <w:p>
      <w:r>
        <w:br w:type="page"/>
      </w:r>
    </w:p>
    <w:p>
      <w:pPr>
        <w:pStyle w:val="Heading1"/>
        <w:keepNext/>
      </w:pPr>
      <w:r>
        <w:t>How to use this template</w:t>
      </w:r>
    </w:p>
    <w:p>
      <w:pPr>
        <w:keepNext w:val="0"/>
        <w:spacing w:before="0" w:after="120" w:line="283" w:lineRule="auto"/>
        <w:jc w:val="left"/>
      </w:pPr>
      <w:r>
        <w:rPr>
          <w:rFonts w:ascii="Arial" w:hAnsi="Arial"/>
          <w:b w:val="0"/>
          <w:i w:val="0"/>
          <w:color w:val="0B1428"/>
          <w:sz w:val="21"/>
        </w:rPr>
        <w:t>This template is designed to be edited. Replace bracketed prompts, remove questions that are not material, and add requirements only when they help distinguish a suitable provider from an unsuitable one.</w:t>
      </w:r>
    </w:p>
    <w:p>
      <w:pPr>
        <w:pStyle w:val="ListNumber"/>
        <w:keepNext w:val="0"/>
        <w:spacing w:before="0" w:after="100" w:line="288" w:lineRule="auto"/>
      </w:pPr>
      <w:r>
        <w:rPr>
          <w:rFonts w:ascii="Arial" w:hAnsi="Arial"/>
          <w:color w:val="0B1428"/>
          <w:sz w:val="20"/>
        </w:rPr>
        <w:t>Define the business outcome, constraints and non-goals before writing detailed requirements.</w:t>
      </w:r>
    </w:p>
    <w:p>
      <w:pPr>
        <w:pStyle w:val="ListNumber"/>
        <w:keepNext w:val="0"/>
        <w:spacing w:before="0" w:after="100" w:line="288" w:lineRule="auto"/>
      </w:pPr>
      <w:r>
        <w:rPr>
          <w:rFonts w:ascii="Arial" w:hAnsi="Arial"/>
          <w:color w:val="0B1428"/>
          <w:sz w:val="20"/>
        </w:rPr>
        <w:t>Classify each requirement as Must, Should, Could or Won't for this procurement.</w:t>
      </w:r>
    </w:p>
    <w:p>
      <w:pPr>
        <w:pStyle w:val="ListNumber"/>
        <w:keepNext w:val="0"/>
        <w:spacing w:before="0" w:after="100" w:line="288" w:lineRule="auto"/>
      </w:pPr>
      <w:r>
        <w:rPr>
          <w:rFonts w:ascii="Arial" w:hAnsi="Arial"/>
          <w:color w:val="0B1428"/>
          <w:sz w:val="20"/>
        </w:rPr>
        <w:t>State the evidence expected for every scored requirement.</w:t>
      </w:r>
    </w:p>
    <w:p>
      <w:pPr>
        <w:pStyle w:val="ListNumber"/>
        <w:keepNext w:val="0"/>
        <w:spacing w:before="0" w:after="100" w:line="288" w:lineRule="auto"/>
      </w:pPr>
      <w:r>
        <w:rPr>
          <w:rFonts w:ascii="Arial" w:hAnsi="Arial"/>
          <w:color w:val="0B1428"/>
          <w:sz w:val="20"/>
        </w:rPr>
        <w:t>Issue one response format to all participating providers.</w:t>
      </w:r>
    </w:p>
    <w:p>
      <w:pPr>
        <w:pStyle w:val="ListNumber"/>
        <w:keepNext w:val="0"/>
        <w:spacing w:before="0" w:after="100" w:line="288" w:lineRule="auto"/>
      </w:pPr>
      <w:r>
        <w:rPr>
          <w:rFonts w:ascii="Arial" w:hAnsi="Arial"/>
          <w:color w:val="0B1428"/>
          <w:sz w:val="20"/>
        </w:rPr>
        <w:t>Score the evidence, not the presentation, and preserve the moderation rationale.</w:t>
      </w:r>
    </w:p>
    <w:p>
      <w:pPr>
        <w:pStyle w:val="ListNumber"/>
        <w:keepNext w:val="0"/>
        <w:spacing w:before="0" w:after="100" w:line="288" w:lineRule="auto"/>
      </w:pPr>
      <w:r>
        <w:rPr>
          <w:rFonts w:ascii="Arial" w:hAnsi="Arial"/>
          <w:color w:val="0B1428"/>
          <w:sz w:val="20"/>
        </w:rPr>
        <w:t>Keep commercials separate from solution merit until the technical evaluation is sufficiently mature.</w:t>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shd w:fill="EAFBFF"/>
          </w:tcPr>
          <w:p>
            <w:pPr>
              <w:keepNext w:val="0"/>
              <w:spacing w:before="0" w:after="0" w:line="281" w:lineRule="auto"/>
            </w:pPr>
            <w:r>
              <w:rPr>
                <w:rFonts w:ascii="Arial" w:hAnsi="Arial"/>
                <w:b/>
                <w:color w:val="00B8D9"/>
                <w:sz w:val="17"/>
              </w:rPr>
              <w:t xml:space="preserve">DECISION RULE  </w:t>
            </w:r>
            <w:r>
              <w:rPr>
                <w:rFonts w:ascii="Arial" w:hAnsi="Arial"/>
                <w:color w:val="0B1428"/>
                <w:sz w:val="20"/>
              </w:rPr>
              <w:t>A requirement is only useful when it can change the decision. If it cannot affect eligibility, score, risk treatment, scope or contract terms, remove it.</w:t>
            </w:r>
          </w:p>
        </w:tc>
      </w:tr>
    </w:tbl>
    <w:p>
      <w:pPr>
        <w:spacing w:after="20"/>
      </w:pPr>
    </w:p>
    <w:p>
      <w:pPr>
        <w:pStyle w:val="Heading2"/>
        <w:keepNext/>
      </w:pPr>
      <w:r>
        <w:t>Template map</w:t>
      </w:r>
    </w:p>
    <w:tbl>
      <w:tblPr>
        <w:tblStyle w:val="TableGrid"/>
        <w:tblW w:type="dxa" w:w="9360"/>
        <w:jc w:val="left"/>
        <w:tblLayout w:type="fixed"/>
        <w:tblLook w:firstColumn="1" w:firstRow="1" w:lastColumn="0" w:lastRow="0" w:noHBand="0" w:noVBand="1" w:val="04A0"/>
        <w:tblInd w:w="120" w:type="dxa"/>
      </w:tblPr>
      <w:tblGrid>
        <w:gridCol w:w="1500"/>
        <w:gridCol w:w="5100"/>
        <w:gridCol w:w="2760"/>
      </w:tblGrid>
      <w:tr>
        <w:trPr>
          <w:tblHeader w:val="true"/>
        </w:trPr>
        <w:tc>
          <w:tcPr>
            <w:tcW w:type="dxa" w:w="150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Section</w:t>
            </w:r>
          </w:p>
        </w:tc>
        <w:tc>
          <w:tcPr>
            <w:tcW w:type="dxa" w:w="510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Decision purpose</w:t>
            </w:r>
          </w:p>
        </w:tc>
        <w:tc>
          <w:tcPr>
            <w:tcW w:type="dxa" w:w="276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Primary owner</w:t>
            </w:r>
          </w:p>
        </w:tc>
      </w:tr>
      <w:tr>
        <w:tc>
          <w:tcPr>
            <w:tcW w:type="dxa" w:w="15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1. RFP control sheet</w:t>
            </w:r>
          </w:p>
        </w:tc>
        <w:tc>
          <w:tcPr>
            <w:tcW w:type="dxa" w:w="51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Set governance, authority and process boundaries</w:t>
            </w:r>
          </w:p>
        </w:tc>
        <w:tc>
          <w:tcPr>
            <w:tcW w:type="dxa" w:w="27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Procurement lead</w:t>
            </w:r>
          </w:p>
        </w:tc>
      </w:tr>
      <w:tr>
        <w:tc>
          <w:tcPr>
            <w:tcW w:type="dxa" w:w="15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2. Context, outcome and scope</w:t>
            </w:r>
          </w:p>
        </w:tc>
        <w:tc>
          <w:tcPr>
            <w:tcW w:type="dxa" w:w="51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Make the problem and boundaries explicit</w:t>
            </w:r>
          </w:p>
        </w:tc>
        <w:tc>
          <w:tcPr>
            <w:tcW w:type="dxa" w:w="27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Executive sponsor</w:t>
            </w:r>
          </w:p>
        </w:tc>
      </w:tr>
      <w:tr>
        <w:tc>
          <w:tcPr>
            <w:tcW w:type="dxa" w:w="15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3. MoSCoW requirements</w:t>
            </w:r>
          </w:p>
        </w:tc>
        <w:tc>
          <w:tcPr>
            <w:tcW w:type="dxa" w:w="51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Separate non-negotiables from differentiators</w:t>
            </w:r>
          </w:p>
        </w:tc>
        <w:tc>
          <w:tcPr>
            <w:tcW w:type="dxa" w:w="27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Business and technical leads</w:t>
            </w:r>
          </w:p>
        </w:tc>
      </w:tr>
      <w:tr>
        <w:tc>
          <w:tcPr>
            <w:tcW w:type="dxa" w:w="15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4. Provider response and evidence</w:t>
            </w:r>
          </w:p>
        </w:tc>
        <w:tc>
          <w:tcPr>
            <w:tcW w:type="dxa" w:w="51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Create like-for-like answers</w:t>
            </w:r>
          </w:p>
        </w:tc>
        <w:tc>
          <w:tcPr>
            <w:tcW w:type="dxa" w:w="27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Evaluation lead</w:t>
            </w:r>
          </w:p>
        </w:tc>
      </w:tr>
      <w:tr>
        <w:tc>
          <w:tcPr>
            <w:tcW w:type="dxa" w:w="15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5. Evaluation and scoring</w:t>
            </w:r>
          </w:p>
        </w:tc>
        <w:tc>
          <w:tcPr>
            <w:tcW w:type="dxa" w:w="51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Convert evidence into a moderated result</w:t>
            </w:r>
          </w:p>
        </w:tc>
        <w:tc>
          <w:tcPr>
            <w:tcW w:type="dxa" w:w="27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Evaluation panel</w:t>
            </w:r>
          </w:p>
        </w:tc>
      </w:tr>
      <w:tr>
        <w:tc>
          <w:tcPr>
            <w:tcW w:type="dxa" w:w="15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6. Commercials and due diligence</w:t>
            </w:r>
          </w:p>
        </w:tc>
        <w:tc>
          <w:tcPr>
            <w:tcW w:type="dxa" w:w="51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Expose whole-of-life cost and provider risk</w:t>
            </w:r>
          </w:p>
        </w:tc>
        <w:tc>
          <w:tcPr>
            <w:tcW w:type="dxa" w:w="27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Finance, legal and risk</w:t>
            </w:r>
          </w:p>
        </w:tc>
      </w:tr>
      <w:tr>
        <w:tc>
          <w:tcPr>
            <w:tcW w:type="dxa" w:w="15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7. Process and decision record</w:t>
            </w:r>
          </w:p>
        </w:tc>
        <w:tc>
          <w:tcPr>
            <w:tcW w:type="dxa" w:w="51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Preserve probity and an auditable outcome</w:t>
            </w:r>
          </w:p>
        </w:tc>
        <w:tc>
          <w:tcPr>
            <w:tcW w:type="dxa" w:w="27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Procurement lead</w:t>
            </w:r>
          </w:p>
        </w:tc>
      </w:tr>
    </w:tbl>
    <w:p>
      <w:pPr>
        <w:spacing w:after="20"/>
      </w:pPr>
    </w:p>
    <w:p>
      <w:pPr>
        <w:keepNext w:val="0"/>
        <w:spacing w:before="0" w:after="120" w:line="283" w:lineRule="auto"/>
        <w:jc w:val="left"/>
      </w:pPr>
      <w:r>
        <w:rPr>
          <w:rFonts w:ascii="Arial" w:hAnsi="Arial"/>
          <w:b w:val="0"/>
          <w:i/>
          <w:color w:val="41506E"/>
          <w:sz w:val="16"/>
        </w:rPr>
        <w:t>Framework source: CYBORIUM's MoSCoW requirements method. Adapt this document to your organisation's procurement policy, delegations, legal requirements and recordkeeping obligations.</w:t>
      </w:r>
    </w:p>
    <w:p>
      <w:r>
        <w:br w:type="page"/>
      </w:r>
    </w:p>
    <w:p>
      <w:pPr>
        <w:pStyle w:val="Heading1"/>
        <w:keepNext/>
      </w:pPr>
      <w:r>
        <w:t>1. RFP control sheet</w:t>
      </w:r>
    </w:p>
    <w:p>
      <w:pPr>
        <w:keepNext w:val="0"/>
        <w:spacing w:before="0" w:after="120" w:line="283" w:lineRule="auto"/>
        <w:jc w:val="left"/>
      </w:pPr>
      <w:r>
        <w:rPr>
          <w:rFonts w:ascii="Arial" w:hAnsi="Arial"/>
          <w:b w:val="0"/>
          <w:i w:val="0"/>
          <w:color w:val="0B1428"/>
          <w:sz w:val="21"/>
        </w:rPr>
        <w:t>Complete this page before the RFP is issued. It establishes who controls the process, which approvals apply and how participants will receive consistent information.</w:t>
      </w:r>
    </w:p>
    <w:tbl>
      <w:tblPr>
        <w:tblStyle w:val="TableGrid"/>
        <w:tblW w:type="dxa" w:w="9360"/>
        <w:jc w:val="left"/>
        <w:tblLayout w:type="fixed"/>
        <w:tblLook w:firstColumn="1" w:firstRow="1" w:lastColumn="0" w:lastRow="0" w:noHBand="0" w:noVBand="1" w:val="04A0"/>
        <w:tblInd w:w="120" w:type="dxa"/>
      </w:tblPr>
      <w:tblGrid>
        <w:gridCol w:w="2600"/>
        <w:gridCol w:w="6760"/>
      </w:tblGrid>
      <w:tr>
        <w:trPr>
          <w:tblHeader w:val="true"/>
        </w:trPr>
        <w:tc>
          <w:tcPr>
            <w:tcW w:type="dxa" w:w="260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Control field</w:t>
            </w:r>
          </w:p>
        </w:tc>
        <w:tc>
          <w:tcPr>
            <w:tcW w:type="dxa" w:w="676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Entry</w:t>
            </w:r>
          </w:p>
        </w:tc>
      </w:tr>
      <w:tr>
        <w:tc>
          <w:tcPr>
            <w:tcW w:type="dxa" w:w="2600"/>
            <w:tcMar>
              <w:top w:w="100" w:type="dxa"/>
              <w:start w:w="120" w:type="dxa"/>
              <w:bottom w:w="100" w:type="dxa"/>
              <w:end w:w="120" w:type="dxa"/>
            </w:tcMar>
            <w:vAlign w:val="center"/>
          </w:tcPr>
          <w:p>
            <w:pPr>
              <w:keepNext w:val="0"/>
              <w:spacing w:before="0" w:after="0" w:line="259" w:lineRule="auto"/>
            </w:pPr>
            <w:r>
              <w:rPr>
                <w:rFonts w:ascii="Arial" w:hAnsi="Arial"/>
                <w:b/>
                <w:color w:val="0B1428"/>
                <w:sz w:val="18"/>
              </w:rPr>
              <w:t>RFP title and reference</w:t>
            </w:r>
          </w:p>
        </w:tc>
        <w:tc>
          <w:tcPr>
            <w:tcW w:type="dxa" w:w="67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8"/>
              </w:rPr>
              <w:t>[Complete before issue]</w:t>
            </w:r>
          </w:p>
        </w:tc>
      </w:tr>
      <w:tr>
        <w:tc>
          <w:tcPr>
            <w:tcW w:type="dxa" w:w="2600"/>
            <w:tcMar>
              <w:top w:w="100" w:type="dxa"/>
              <w:start w:w="120" w:type="dxa"/>
              <w:bottom w:w="100" w:type="dxa"/>
              <w:end w:w="120" w:type="dxa"/>
            </w:tcMar>
            <w:vAlign w:val="center"/>
          </w:tcPr>
          <w:p>
            <w:pPr>
              <w:keepNext w:val="0"/>
              <w:spacing w:before="0" w:after="0" w:line="259" w:lineRule="auto"/>
            </w:pPr>
            <w:r>
              <w:rPr>
                <w:rFonts w:ascii="Arial" w:hAnsi="Arial"/>
                <w:b/>
                <w:color w:val="0B1428"/>
                <w:sz w:val="18"/>
              </w:rPr>
              <w:t>Issuing organisation</w:t>
            </w:r>
          </w:p>
        </w:tc>
        <w:tc>
          <w:tcPr>
            <w:tcW w:type="dxa" w:w="67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8"/>
              </w:rPr>
              <w:t>[Complete before issue]</w:t>
            </w:r>
          </w:p>
        </w:tc>
      </w:tr>
      <w:tr>
        <w:tc>
          <w:tcPr>
            <w:tcW w:type="dxa" w:w="2600"/>
            <w:tcMar>
              <w:top w:w="100" w:type="dxa"/>
              <w:start w:w="120" w:type="dxa"/>
              <w:bottom w:w="100" w:type="dxa"/>
              <w:end w:w="120" w:type="dxa"/>
            </w:tcMar>
            <w:vAlign w:val="center"/>
          </w:tcPr>
          <w:p>
            <w:pPr>
              <w:keepNext w:val="0"/>
              <w:spacing w:before="0" w:after="0" w:line="259" w:lineRule="auto"/>
            </w:pPr>
            <w:r>
              <w:rPr>
                <w:rFonts w:ascii="Arial" w:hAnsi="Arial"/>
                <w:b/>
                <w:color w:val="0B1428"/>
                <w:sz w:val="18"/>
              </w:rPr>
              <w:t>Executive sponsor</w:t>
            </w:r>
          </w:p>
        </w:tc>
        <w:tc>
          <w:tcPr>
            <w:tcW w:type="dxa" w:w="67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8"/>
              </w:rPr>
              <w:t>[Complete before issue]</w:t>
            </w:r>
          </w:p>
        </w:tc>
      </w:tr>
      <w:tr>
        <w:tc>
          <w:tcPr>
            <w:tcW w:type="dxa" w:w="2600"/>
            <w:tcMar>
              <w:top w:w="100" w:type="dxa"/>
              <w:start w:w="120" w:type="dxa"/>
              <w:bottom w:w="100" w:type="dxa"/>
              <w:end w:w="120" w:type="dxa"/>
            </w:tcMar>
            <w:vAlign w:val="center"/>
          </w:tcPr>
          <w:p>
            <w:pPr>
              <w:keepNext w:val="0"/>
              <w:spacing w:before="0" w:after="0" w:line="259" w:lineRule="auto"/>
            </w:pPr>
            <w:r>
              <w:rPr>
                <w:rFonts w:ascii="Arial" w:hAnsi="Arial"/>
                <w:b/>
                <w:color w:val="0B1428"/>
                <w:sz w:val="18"/>
              </w:rPr>
              <w:t>Procurement lead</w:t>
            </w:r>
          </w:p>
        </w:tc>
        <w:tc>
          <w:tcPr>
            <w:tcW w:type="dxa" w:w="67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8"/>
              </w:rPr>
              <w:t>[Complete before issue]</w:t>
            </w:r>
          </w:p>
        </w:tc>
      </w:tr>
      <w:tr>
        <w:tc>
          <w:tcPr>
            <w:tcW w:type="dxa" w:w="2600"/>
            <w:tcMar>
              <w:top w:w="100" w:type="dxa"/>
              <w:start w:w="120" w:type="dxa"/>
              <w:bottom w:w="100" w:type="dxa"/>
              <w:end w:w="120" w:type="dxa"/>
            </w:tcMar>
            <w:vAlign w:val="center"/>
          </w:tcPr>
          <w:p>
            <w:pPr>
              <w:keepNext w:val="0"/>
              <w:spacing w:before="0" w:after="0" w:line="259" w:lineRule="auto"/>
            </w:pPr>
            <w:r>
              <w:rPr>
                <w:rFonts w:ascii="Arial" w:hAnsi="Arial"/>
                <w:b/>
                <w:color w:val="0B1428"/>
                <w:sz w:val="18"/>
              </w:rPr>
              <w:t>Evaluation chair</w:t>
            </w:r>
          </w:p>
        </w:tc>
        <w:tc>
          <w:tcPr>
            <w:tcW w:type="dxa" w:w="67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8"/>
              </w:rPr>
              <w:t>[Complete before issue]</w:t>
            </w:r>
          </w:p>
        </w:tc>
      </w:tr>
      <w:tr>
        <w:tc>
          <w:tcPr>
            <w:tcW w:type="dxa" w:w="2600"/>
            <w:tcMar>
              <w:top w:w="100" w:type="dxa"/>
              <w:start w:w="120" w:type="dxa"/>
              <w:bottom w:w="100" w:type="dxa"/>
              <w:end w:w="120" w:type="dxa"/>
            </w:tcMar>
            <w:vAlign w:val="center"/>
          </w:tcPr>
          <w:p>
            <w:pPr>
              <w:keepNext w:val="0"/>
              <w:spacing w:before="0" w:after="0" w:line="259" w:lineRule="auto"/>
            </w:pPr>
            <w:r>
              <w:rPr>
                <w:rFonts w:ascii="Arial" w:hAnsi="Arial"/>
                <w:b/>
                <w:color w:val="0B1428"/>
                <w:sz w:val="18"/>
              </w:rPr>
              <w:t>Probity or legal adviser</w:t>
            </w:r>
          </w:p>
        </w:tc>
        <w:tc>
          <w:tcPr>
            <w:tcW w:type="dxa" w:w="67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8"/>
              </w:rPr>
              <w:t>[Complete before issue]</w:t>
            </w:r>
          </w:p>
        </w:tc>
      </w:tr>
      <w:tr>
        <w:tc>
          <w:tcPr>
            <w:tcW w:type="dxa" w:w="2600"/>
            <w:tcMar>
              <w:top w:w="100" w:type="dxa"/>
              <w:start w:w="120" w:type="dxa"/>
              <w:bottom w:w="100" w:type="dxa"/>
              <w:end w:w="120" w:type="dxa"/>
            </w:tcMar>
            <w:vAlign w:val="center"/>
          </w:tcPr>
          <w:p>
            <w:pPr>
              <w:keepNext w:val="0"/>
              <w:spacing w:before="0" w:after="0" w:line="259" w:lineRule="auto"/>
            </w:pPr>
            <w:r>
              <w:rPr>
                <w:rFonts w:ascii="Arial" w:hAnsi="Arial"/>
                <w:b/>
                <w:color w:val="0B1428"/>
                <w:sz w:val="18"/>
              </w:rPr>
              <w:t>Issue date</w:t>
            </w:r>
          </w:p>
        </w:tc>
        <w:tc>
          <w:tcPr>
            <w:tcW w:type="dxa" w:w="67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8"/>
              </w:rPr>
              <w:t>[Complete before issue]</w:t>
            </w:r>
          </w:p>
        </w:tc>
      </w:tr>
      <w:tr>
        <w:tc>
          <w:tcPr>
            <w:tcW w:type="dxa" w:w="2600"/>
            <w:tcMar>
              <w:top w:w="100" w:type="dxa"/>
              <w:start w:w="120" w:type="dxa"/>
              <w:bottom w:w="100" w:type="dxa"/>
              <w:end w:w="120" w:type="dxa"/>
            </w:tcMar>
            <w:vAlign w:val="center"/>
          </w:tcPr>
          <w:p>
            <w:pPr>
              <w:keepNext w:val="0"/>
              <w:spacing w:before="0" w:after="0" w:line="259" w:lineRule="auto"/>
            </w:pPr>
            <w:r>
              <w:rPr>
                <w:rFonts w:ascii="Arial" w:hAnsi="Arial"/>
                <w:b/>
                <w:color w:val="0B1428"/>
                <w:sz w:val="18"/>
              </w:rPr>
              <w:t>Clarification deadline</w:t>
            </w:r>
          </w:p>
        </w:tc>
        <w:tc>
          <w:tcPr>
            <w:tcW w:type="dxa" w:w="67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8"/>
              </w:rPr>
              <w:t>[Complete before issue]</w:t>
            </w:r>
          </w:p>
        </w:tc>
      </w:tr>
      <w:tr>
        <w:tc>
          <w:tcPr>
            <w:tcW w:type="dxa" w:w="2600"/>
            <w:tcMar>
              <w:top w:w="100" w:type="dxa"/>
              <w:start w:w="120" w:type="dxa"/>
              <w:bottom w:w="100" w:type="dxa"/>
              <w:end w:w="120" w:type="dxa"/>
            </w:tcMar>
            <w:vAlign w:val="center"/>
          </w:tcPr>
          <w:p>
            <w:pPr>
              <w:keepNext w:val="0"/>
              <w:spacing w:before="0" w:after="0" w:line="259" w:lineRule="auto"/>
            </w:pPr>
            <w:r>
              <w:rPr>
                <w:rFonts w:ascii="Arial" w:hAnsi="Arial"/>
                <w:b/>
                <w:color w:val="0B1428"/>
                <w:sz w:val="18"/>
              </w:rPr>
              <w:t>Response deadline and time zone</w:t>
            </w:r>
          </w:p>
        </w:tc>
        <w:tc>
          <w:tcPr>
            <w:tcW w:type="dxa" w:w="67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8"/>
              </w:rPr>
              <w:t>[Complete before issue]</w:t>
            </w:r>
          </w:p>
        </w:tc>
      </w:tr>
      <w:tr>
        <w:tc>
          <w:tcPr>
            <w:tcW w:type="dxa" w:w="2600"/>
            <w:tcMar>
              <w:top w:w="100" w:type="dxa"/>
              <w:start w:w="120" w:type="dxa"/>
              <w:bottom w:w="100" w:type="dxa"/>
              <w:end w:w="120" w:type="dxa"/>
            </w:tcMar>
            <w:vAlign w:val="center"/>
          </w:tcPr>
          <w:p>
            <w:pPr>
              <w:keepNext w:val="0"/>
              <w:spacing w:before="0" w:after="0" w:line="259" w:lineRule="auto"/>
            </w:pPr>
            <w:r>
              <w:rPr>
                <w:rFonts w:ascii="Arial" w:hAnsi="Arial"/>
                <w:b/>
                <w:color w:val="0B1428"/>
                <w:sz w:val="18"/>
              </w:rPr>
              <w:t>Expected decision date</w:t>
            </w:r>
          </w:p>
        </w:tc>
        <w:tc>
          <w:tcPr>
            <w:tcW w:type="dxa" w:w="67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8"/>
              </w:rPr>
              <w:t>[Complete before issue]</w:t>
            </w:r>
          </w:p>
        </w:tc>
      </w:tr>
      <w:tr>
        <w:tc>
          <w:tcPr>
            <w:tcW w:type="dxa" w:w="2600"/>
            <w:tcMar>
              <w:top w:w="100" w:type="dxa"/>
              <w:start w:w="120" w:type="dxa"/>
              <w:bottom w:w="100" w:type="dxa"/>
              <w:end w:w="120" w:type="dxa"/>
            </w:tcMar>
            <w:vAlign w:val="center"/>
          </w:tcPr>
          <w:p>
            <w:pPr>
              <w:keepNext w:val="0"/>
              <w:spacing w:before="0" w:after="0" w:line="259" w:lineRule="auto"/>
            </w:pPr>
            <w:r>
              <w:rPr>
                <w:rFonts w:ascii="Arial" w:hAnsi="Arial"/>
                <w:b/>
                <w:color w:val="0B1428"/>
                <w:sz w:val="18"/>
              </w:rPr>
              <w:t>Contracting entity</w:t>
            </w:r>
          </w:p>
        </w:tc>
        <w:tc>
          <w:tcPr>
            <w:tcW w:type="dxa" w:w="67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8"/>
              </w:rPr>
              <w:t>[Complete before issue]</w:t>
            </w:r>
          </w:p>
        </w:tc>
      </w:tr>
      <w:tr>
        <w:tc>
          <w:tcPr>
            <w:tcW w:type="dxa" w:w="2600"/>
            <w:tcMar>
              <w:top w:w="100" w:type="dxa"/>
              <w:start w:w="120" w:type="dxa"/>
              <w:bottom w:w="100" w:type="dxa"/>
              <w:end w:w="120" w:type="dxa"/>
            </w:tcMar>
            <w:vAlign w:val="center"/>
          </w:tcPr>
          <w:p>
            <w:pPr>
              <w:keepNext w:val="0"/>
              <w:spacing w:before="0" w:after="0" w:line="259" w:lineRule="auto"/>
            </w:pPr>
            <w:r>
              <w:rPr>
                <w:rFonts w:ascii="Arial" w:hAnsi="Arial"/>
                <w:b/>
                <w:color w:val="0B1428"/>
                <w:sz w:val="18"/>
              </w:rPr>
              <w:t>Approved contact channel</w:t>
            </w:r>
          </w:p>
        </w:tc>
        <w:tc>
          <w:tcPr>
            <w:tcW w:type="dxa" w:w="67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8"/>
              </w:rPr>
              <w:t>[Complete before issue]</w:t>
            </w:r>
          </w:p>
        </w:tc>
      </w:tr>
      <w:tr>
        <w:tc>
          <w:tcPr>
            <w:tcW w:type="dxa" w:w="2600"/>
            <w:tcMar>
              <w:top w:w="100" w:type="dxa"/>
              <w:start w:w="120" w:type="dxa"/>
              <w:bottom w:w="100" w:type="dxa"/>
              <w:end w:w="120" w:type="dxa"/>
            </w:tcMar>
            <w:vAlign w:val="center"/>
          </w:tcPr>
          <w:p>
            <w:pPr>
              <w:keepNext w:val="0"/>
              <w:spacing w:before="0" w:after="0" w:line="259" w:lineRule="auto"/>
            </w:pPr>
            <w:r>
              <w:rPr>
                <w:rFonts w:ascii="Arial" w:hAnsi="Arial"/>
                <w:b/>
                <w:color w:val="0B1428"/>
                <w:sz w:val="18"/>
              </w:rPr>
              <w:t>Confidentiality classification</w:t>
            </w:r>
          </w:p>
        </w:tc>
        <w:tc>
          <w:tcPr>
            <w:tcW w:type="dxa" w:w="67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8"/>
              </w:rPr>
              <w:t>[Complete before issue]</w:t>
            </w:r>
          </w:p>
        </w:tc>
      </w:tr>
      <w:tr>
        <w:tc>
          <w:tcPr>
            <w:tcW w:type="dxa" w:w="2600"/>
            <w:tcMar>
              <w:top w:w="100" w:type="dxa"/>
              <w:start w:w="120" w:type="dxa"/>
              <w:bottom w:w="100" w:type="dxa"/>
              <w:end w:w="120" w:type="dxa"/>
            </w:tcMar>
            <w:vAlign w:val="center"/>
          </w:tcPr>
          <w:p>
            <w:pPr>
              <w:keepNext w:val="0"/>
              <w:spacing w:before="0" w:after="0" w:line="259" w:lineRule="auto"/>
            </w:pPr>
            <w:r>
              <w:rPr>
                <w:rFonts w:ascii="Arial" w:hAnsi="Arial"/>
                <w:b/>
                <w:color w:val="0B1428"/>
                <w:sz w:val="18"/>
              </w:rPr>
              <w:t>Delegated approval authority</w:t>
            </w:r>
          </w:p>
        </w:tc>
        <w:tc>
          <w:tcPr>
            <w:tcW w:type="dxa" w:w="67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8"/>
              </w:rPr>
              <w:t>[Complete before issue]</w:t>
            </w:r>
          </w:p>
        </w:tc>
      </w:tr>
    </w:tbl>
    <w:p>
      <w:pPr>
        <w:spacing w:after="20"/>
      </w:pPr>
    </w:p>
    <w:p>
      <w:pPr>
        <w:pStyle w:val="Heading2"/>
        <w:keepNext/>
      </w:pPr>
      <w:r>
        <w:t>Governance declarations</w:t>
      </w:r>
    </w:p>
    <w:p>
      <w:pPr>
        <w:pStyle w:val="ListBullet"/>
        <w:keepNext w:val="0"/>
        <w:spacing w:before="0" w:after="80" w:line="288" w:lineRule="auto"/>
      </w:pPr>
      <w:r>
        <w:rPr>
          <w:rFonts w:ascii="Arial" w:hAnsi="Arial"/>
          <w:color w:val="0B1428"/>
          <w:sz w:val="20"/>
        </w:rPr>
        <w:t>[ ] All evaluation panel members have declared actual, potential or perceived conflicts of interest.</w:t>
      </w:r>
    </w:p>
    <w:p>
      <w:pPr>
        <w:pStyle w:val="ListBullet"/>
        <w:keepNext w:val="0"/>
        <w:spacing w:before="0" w:after="80" w:line="288" w:lineRule="auto"/>
      </w:pPr>
      <w:r>
        <w:rPr>
          <w:rFonts w:ascii="Arial" w:hAnsi="Arial"/>
          <w:color w:val="0B1428"/>
          <w:sz w:val="20"/>
        </w:rPr>
        <w:t>[ ] Evaluation criteria and weights were approved before responses were opened.</w:t>
      </w:r>
    </w:p>
    <w:p>
      <w:pPr>
        <w:pStyle w:val="ListBullet"/>
        <w:keepNext w:val="0"/>
        <w:spacing w:before="0" w:after="80" w:line="288" w:lineRule="auto"/>
      </w:pPr>
      <w:r>
        <w:rPr>
          <w:rFonts w:ascii="Arial" w:hAnsi="Arial"/>
          <w:color w:val="0B1428"/>
          <w:sz w:val="20"/>
        </w:rPr>
        <w:t>[ ] Material clarifications will be distributed consistently to participating providers.</w:t>
      </w:r>
    </w:p>
    <w:p>
      <w:pPr>
        <w:pStyle w:val="ListBullet"/>
        <w:keepNext w:val="0"/>
        <w:spacing w:before="0" w:after="80" w:line="288" w:lineRule="auto"/>
      </w:pPr>
      <w:r>
        <w:rPr>
          <w:rFonts w:ascii="Arial" w:hAnsi="Arial"/>
          <w:color w:val="0B1428"/>
          <w:sz w:val="20"/>
        </w:rPr>
        <w:t>[ ] The decision record will retain scores, moderation notes, risk treatments and approval evidence.</w:t>
      </w:r>
    </w:p>
    <w:p>
      <w:r>
        <w:br w:type="page"/>
      </w:r>
    </w:p>
    <w:p>
      <w:pPr>
        <w:pStyle w:val="Heading1"/>
        <w:keepNext/>
      </w:pPr>
      <w:r>
        <w:t>2. Context, outcome and scope</w:t>
      </w:r>
    </w:p>
    <w:p>
      <w:pPr>
        <w:pStyle w:val="Heading2"/>
        <w:keepNext/>
      </w:pPr>
      <w:r>
        <w:t>2.1 Organisation context</w:t>
      </w:r>
    </w:p>
    <w:p>
      <w:pPr>
        <w:keepNext w:val="0"/>
        <w:spacing w:before="0" w:after="120" w:line="283" w:lineRule="auto"/>
        <w:jc w:val="left"/>
      </w:pPr>
      <w:r>
        <w:rPr>
          <w:rFonts w:ascii="Arial" w:hAnsi="Arial"/>
          <w:b w:val="0"/>
          <w:i w:val="0"/>
          <w:color w:val="0B1428"/>
          <w:sz w:val="21"/>
        </w:rPr>
        <w:t>[Describe the operating environment in terms that affect the solution: sector, scale, locations, critical services, regulatory context, data sensitivity, existing architecture and material dependencies. Avoid generic corporate history.]</w:t>
      </w:r>
    </w:p>
    <w:p>
      <w:pPr>
        <w:pStyle w:val="Heading2"/>
        <w:keepNext/>
      </w:pPr>
      <w:r>
        <w:t>2.2 Procurement outcome</w:t>
      </w:r>
    </w:p>
    <w:tbl>
      <w:tblPr>
        <w:tblStyle w:val="TableGrid"/>
        <w:tblW w:type="dxa" w:w="9360"/>
        <w:jc w:val="left"/>
        <w:tblLayout w:type="fixed"/>
        <w:tblLook w:firstColumn="1" w:firstRow="1" w:lastColumn="0" w:lastRow="0" w:noHBand="0" w:noVBand="1" w:val="04A0"/>
        <w:tblInd w:w="120" w:type="dxa"/>
      </w:tblPr>
      <w:tblGrid>
        <w:gridCol w:w="2500"/>
        <w:gridCol w:w="6860"/>
      </w:tblGrid>
      <w:tr>
        <w:trPr>
          <w:tblHeader w:val="true"/>
        </w:trPr>
        <w:tc>
          <w:tcPr>
            <w:tcW w:type="dxa" w:w="250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Outcome field</w:t>
            </w:r>
          </w:p>
        </w:tc>
        <w:tc>
          <w:tcPr>
            <w:tcW w:type="dxa" w:w="686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Organisation entry</w:t>
            </w:r>
          </w:p>
        </w:tc>
      </w:tr>
      <w:tr>
        <w:tc>
          <w:tcPr>
            <w:tcW w:type="dxa" w:w="2500"/>
            <w:tcMar>
              <w:top w:w="100" w:type="dxa"/>
              <w:start w:w="120" w:type="dxa"/>
              <w:bottom w:w="100" w:type="dxa"/>
              <w:end w:w="120" w:type="dxa"/>
            </w:tcMar>
            <w:vAlign w:val="center"/>
          </w:tcPr>
          <w:p>
            <w:pPr>
              <w:keepNext w:val="0"/>
              <w:spacing w:before="0" w:after="0" w:line="259" w:lineRule="auto"/>
            </w:pPr>
            <w:r>
              <w:rPr>
                <w:rFonts w:ascii="Arial" w:hAnsi="Arial"/>
                <w:b/>
                <w:color w:val="0B1428"/>
                <w:sz w:val="18"/>
              </w:rPr>
              <w:t>Problem to solve</w:t>
            </w:r>
          </w:p>
        </w:tc>
        <w:tc>
          <w:tcPr>
            <w:tcW w:type="dxa" w:w="68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8"/>
              </w:rPr>
              <w:t>[State the current condition and why it matters now.]</w:t>
            </w:r>
          </w:p>
        </w:tc>
      </w:tr>
      <w:tr>
        <w:tc>
          <w:tcPr>
            <w:tcW w:type="dxa" w:w="2500"/>
            <w:tcMar>
              <w:top w:w="100" w:type="dxa"/>
              <w:start w:w="120" w:type="dxa"/>
              <w:bottom w:w="100" w:type="dxa"/>
              <w:end w:w="120" w:type="dxa"/>
            </w:tcMar>
            <w:vAlign w:val="center"/>
          </w:tcPr>
          <w:p>
            <w:pPr>
              <w:keepNext w:val="0"/>
              <w:spacing w:before="0" w:after="0" w:line="259" w:lineRule="auto"/>
            </w:pPr>
            <w:r>
              <w:rPr>
                <w:rFonts w:ascii="Arial" w:hAnsi="Arial"/>
                <w:b/>
                <w:color w:val="0B1428"/>
                <w:sz w:val="18"/>
              </w:rPr>
              <w:t>Target business outcome</w:t>
            </w:r>
          </w:p>
        </w:tc>
        <w:tc>
          <w:tcPr>
            <w:tcW w:type="dxa" w:w="68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8"/>
              </w:rPr>
              <w:t>[State the measurable change the procurement must enable.]</w:t>
            </w:r>
          </w:p>
        </w:tc>
      </w:tr>
      <w:tr>
        <w:tc>
          <w:tcPr>
            <w:tcW w:type="dxa" w:w="2500"/>
            <w:tcMar>
              <w:top w:w="100" w:type="dxa"/>
              <w:start w:w="120" w:type="dxa"/>
              <w:bottom w:w="100" w:type="dxa"/>
              <w:end w:w="120" w:type="dxa"/>
            </w:tcMar>
            <w:vAlign w:val="center"/>
          </w:tcPr>
          <w:p>
            <w:pPr>
              <w:keepNext w:val="0"/>
              <w:spacing w:before="0" w:after="0" w:line="259" w:lineRule="auto"/>
            </w:pPr>
            <w:r>
              <w:rPr>
                <w:rFonts w:ascii="Arial" w:hAnsi="Arial"/>
                <w:b/>
                <w:color w:val="0B1428"/>
                <w:sz w:val="18"/>
              </w:rPr>
              <w:t>Measures of success</w:t>
            </w:r>
          </w:p>
        </w:tc>
        <w:tc>
          <w:tcPr>
            <w:tcW w:type="dxa" w:w="68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8"/>
              </w:rPr>
              <w:t>[List 3-6 outcome measures, their baselines and target dates.]</w:t>
            </w:r>
          </w:p>
        </w:tc>
      </w:tr>
      <w:tr>
        <w:tc>
          <w:tcPr>
            <w:tcW w:type="dxa" w:w="2500"/>
            <w:tcMar>
              <w:top w:w="100" w:type="dxa"/>
              <w:start w:w="120" w:type="dxa"/>
              <w:bottom w:w="100" w:type="dxa"/>
              <w:end w:w="120" w:type="dxa"/>
            </w:tcMar>
            <w:vAlign w:val="center"/>
          </w:tcPr>
          <w:p>
            <w:pPr>
              <w:keepNext w:val="0"/>
              <w:spacing w:before="0" w:after="0" w:line="259" w:lineRule="auto"/>
            </w:pPr>
            <w:r>
              <w:rPr>
                <w:rFonts w:ascii="Arial" w:hAnsi="Arial"/>
                <w:b/>
                <w:color w:val="0B1428"/>
                <w:sz w:val="18"/>
              </w:rPr>
              <w:t>Executive risk if unresolved</w:t>
            </w:r>
          </w:p>
        </w:tc>
        <w:tc>
          <w:tcPr>
            <w:tcW w:type="dxa" w:w="68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8"/>
              </w:rPr>
              <w:t>[State operational, cyber, financial, legal or strategic exposure.]</w:t>
            </w:r>
          </w:p>
        </w:tc>
      </w:tr>
      <w:tr>
        <w:tc>
          <w:tcPr>
            <w:tcW w:type="dxa" w:w="2500"/>
            <w:tcMar>
              <w:top w:w="100" w:type="dxa"/>
              <w:start w:w="120" w:type="dxa"/>
              <w:bottom w:w="100" w:type="dxa"/>
              <w:end w:w="120" w:type="dxa"/>
            </w:tcMar>
            <w:vAlign w:val="center"/>
          </w:tcPr>
          <w:p>
            <w:pPr>
              <w:keepNext w:val="0"/>
              <w:spacing w:before="0" w:after="0" w:line="259" w:lineRule="auto"/>
            </w:pPr>
            <w:r>
              <w:rPr>
                <w:rFonts w:ascii="Arial" w:hAnsi="Arial"/>
                <w:b/>
                <w:color w:val="0B1428"/>
                <w:sz w:val="18"/>
              </w:rPr>
              <w:t>Decision deadline</w:t>
            </w:r>
          </w:p>
        </w:tc>
        <w:tc>
          <w:tcPr>
            <w:tcW w:type="dxa" w:w="68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8"/>
              </w:rPr>
              <w:t>[State the deadline and the consequence of missing it.]</w:t>
            </w:r>
          </w:p>
        </w:tc>
      </w:tr>
    </w:tbl>
    <w:p>
      <w:pPr>
        <w:spacing w:after="20"/>
      </w:pPr>
    </w:p>
    <w:p>
      <w:pPr>
        <w:pStyle w:val="Heading2"/>
        <w:keepNext/>
      </w:pPr>
      <w:r>
        <w:t>2.3 Scope boundaries</w:t>
      </w:r>
    </w:p>
    <w:tbl>
      <w:tblPr>
        <w:tblStyle w:val="TableGrid"/>
        <w:tblW w:type="dxa" w:w="9360"/>
        <w:jc w:val="left"/>
        <w:tblLayout w:type="fixed"/>
        <w:tblLook w:firstColumn="1" w:firstRow="1" w:lastColumn="0" w:lastRow="0" w:noHBand="0" w:noVBand="1" w:val="04A0"/>
        <w:tblInd w:w="120" w:type="dxa"/>
      </w:tblPr>
      <w:tblGrid>
        <w:gridCol w:w="3120"/>
        <w:gridCol w:w="3120"/>
        <w:gridCol w:w="3120"/>
      </w:tblGrid>
      <w:tr>
        <w:trPr>
          <w:tblHeader w:val="true"/>
        </w:trPr>
        <w:tc>
          <w:tcPr>
            <w:tcW w:type="dxa" w:w="312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In scope</w:t>
            </w:r>
          </w:p>
        </w:tc>
        <w:tc>
          <w:tcPr>
            <w:tcW w:type="dxa" w:w="312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Out of scope</w:t>
            </w:r>
          </w:p>
        </w:tc>
        <w:tc>
          <w:tcPr>
            <w:tcW w:type="dxa" w:w="312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Dependencies / assumptions</w:t>
            </w:r>
          </w:p>
        </w:tc>
      </w:tr>
      <w:tr>
        <w:tc>
          <w:tcPr>
            <w:tcW w:type="dxa" w:w="312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[Service, capability, users, locations, data, integrations]</w:t>
            </w:r>
          </w:p>
        </w:tc>
        <w:tc>
          <w:tcPr>
            <w:tcW w:type="dxa" w:w="312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[Explicit exclusions and retained responsibilities]</w:t>
            </w:r>
          </w:p>
        </w:tc>
        <w:tc>
          <w:tcPr>
            <w:tcW w:type="dxa" w:w="312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[Program, platform, identity, network, data or resource dependencies]</w:t>
            </w:r>
          </w:p>
        </w:tc>
      </w:tr>
      <w:tr>
        <w:tc>
          <w:tcPr>
            <w:tcW w:type="dxa" w:w="312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r>
          </w:p>
        </w:tc>
        <w:tc>
          <w:tcPr>
            <w:tcW w:type="dxa" w:w="312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r>
          </w:p>
        </w:tc>
        <w:tc>
          <w:tcPr>
            <w:tcW w:type="dxa" w:w="312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r>
          </w:p>
        </w:tc>
      </w:tr>
      <w:tr>
        <w:tc>
          <w:tcPr>
            <w:tcW w:type="dxa" w:w="312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r>
          </w:p>
        </w:tc>
        <w:tc>
          <w:tcPr>
            <w:tcW w:type="dxa" w:w="312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r>
          </w:p>
        </w:tc>
        <w:tc>
          <w:tcPr>
            <w:tcW w:type="dxa" w:w="312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r>
          </w:p>
        </w:tc>
      </w:tr>
    </w:tbl>
    <w:p>
      <w:pPr>
        <w:spacing w:after="20"/>
      </w:pPr>
    </w:p>
    <w:p>
      <w:pPr>
        <w:pStyle w:val="Heading2"/>
        <w:keepNext/>
      </w:pPr>
      <w:r>
        <w:t>2.4 Current-state evidence available to providers</w:t>
      </w:r>
    </w:p>
    <w:p>
      <w:pPr>
        <w:pStyle w:val="ListBullet"/>
        <w:keepNext w:val="0"/>
        <w:spacing w:before="0" w:after="80" w:line="288" w:lineRule="auto"/>
      </w:pPr>
      <w:r>
        <w:rPr>
          <w:rFonts w:ascii="Arial" w:hAnsi="Arial"/>
          <w:color w:val="0B1428"/>
          <w:sz w:val="20"/>
        </w:rPr>
        <w:t>[ ] Architecture or data-flow diagrams</w:t>
      </w:r>
    </w:p>
    <w:p>
      <w:pPr>
        <w:pStyle w:val="ListBullet"/>
        <w:keepNext w:val="0"/>
        <w:spacing w:before="0" w:after="80" w:line="288" w:lineRule="auto"/>
      </w:pPr>
      <w:r>
        <w:rPr>
          <w:rFonts w:ascii="Arial" w:hAnsi="Arial"/>
          <w:color w:val="0B1428"/>
          <w:sz w:val="20"/>
        </w:rPr>
        <w:t>[ ] Current service volumes and incidents</w:t>
      </w:r>
    </w:p>
    <w:p>
      <w:pPr>
        <w:pStyle w:val="ListBullet"/>
        <w:keepNext w:val="0"/>
        <w:spacing w:before="0" w:after="80" w:line="288" w:lineRule="auto"/>
      </w:pPr>
      <w:r>
        <w:rPr>
          <w:rFonts w:ascii="Arial" w:hAnsi="Arial"/>
          <w:color w:val="0B1428"/>
          <w:sz w:val="20"/>
        </w:rPr>
        <w:t>[ ] Asset or application inventory</w:t>
      </w:r>
    </w:p>
    <w:p>
      <w:pPr>
        <w:pStyle w:val="ListBullet"/>
        <w:keepNext w:val="0"/>
        <w:spacing w:before="0" w:after="80" w:line="288" w:lineRule="auto"/>
      </w:pPr>
      <w:r>
        <w:rPr>
          <w:rFonts w:ascii="Arial" w:hAnsi="Arial"/>
          <w:color w:val="0B1428"/>
          <w:sz w:val="20"/>
        </w:rPr>
        <w:t>[ ] Control maturity or audit findings</w:t>
      </w:r>
    </w:p>
    <w:p>
      <w:pPr>
        <w:pStyle w:val="ListBullet"/>
        <w:keepNext w:val="0"/>
        <w:spacing w:before="0" w:after="80" w:line="288" w:lineRule="auto"/>
      </w:pPr>
      <w:r>
        <w:rPr>
          <w:rFonts w:ascii="Arial" w:hAnsi="Arial"/>
          <w:color w:val="0B1428"/>
          <w:sz w:val="20"/>
        </w:rPr>
        <w:t>[ ] Integration catalogue</w:t>
      </w:r>
    </w:p>
    <w:p>
      <w:pPr>
        <w:pStyle w:val="ListBullet"/>
        <w:keepNext w:val="0"/>
        <w:spacing w:before="0" w:after="80" w:line="288" w:lineRule="auto"/>
      </w:pPr>
      <w:r>
        <w:rPr>
          <w:rFonts w:ascii="Arial" w:hAnsi="Arial"/>
          <w:color w:val="0B1428"/>
          <w:sz w:val="20"/>
        </w:rPr>
        <w:t>[ ] Relevant policies and standards</w:t>
      </w:r>
    </w:p>
    <w:p>
      <w:r>
        <w:br w:type="page"/>
      </w:r>
    </w:p>
    <w:p>
      <w:pPr>
        <w:pStyle w:val="Heading1"/>
        <w:keepNext/>
      </w:pPr>
      <w:r>
        <w:t>3. MoSCoW requirements schedule</w:t>
      </w:r>
    </w:p>
    <w:p>
      <w:pPr>
        <w:keepNext w:val="0"/>
        <w:spacing w:before="0" w:after="120" w:line="283" w:lineRule="auto"/>
        <w:jc w:val="left"/>
      </w:pPr>
      <w:r>
        <w:rPr>
          <w:rFonts w:ascii="Arial" w:hAnsi="Arial"/>
          <w:b w:val="0"/>
          <w:i w:val="0"/>
          <w:color w:val="0B1428"/>
          <w:sz w:val="21"/>
        </w:rPr>
        <w:t>MoSCoW prevents every stakeholder preference from becoming a false non-negotiable. The category belongs to the procurement decision, not to the feature in the abstract.</w:t>
      </w:r>
    </w:p>
    <w:tbl>
      <w:tblPr>
        <w:tblStyle w:val="TableGrid"/>
        <w:tblW w:type="dxa" w:w="9360"/>
        <w:jc w:val="left"/>
        <w:tblLayout w:type="fixed"/>
        <w:tblLook w:firstColumn="1" w:firstRow="1" w:lastColumn="0" w:lastRow="0" w:noHBand="0" w:noVBand="1" w:val="04A0"/>
        <w:tblInd w:w="120" w:type="dxa"/>
      </w:tblPr>
      <w:tblGrid>
        <w:gridCol w:w="1300"/>
        <w:gridCol w:w="4200"/>
        <w:gridCol w:w="3860"/>
      </w:tblGrid>
      <w:tr>
        <w:trPr>
          <w:tblHeader w:val="true"/>
        </w:trPr>
        <w:tc>
          <w:tcPr>
            <w:tcW w:type="dxa" w:w="130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Tier</w:t>
            </w:r>
          </w:p>
        </w:tc>
        <w:tc>
          <w:tcPr>
            <w:tcW w:type="dxa" w:w="420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Meaning in this RFP</w:t>
            </w:r>
          </w:p>
        </w:tc>
        <w:tc>
          <w:tcPr>
            <w:tcW w:type="dxa" w:w="386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Evaluation treatment</w:t>
            </w:r>
          </w:p>
        </w:tc>
      </w:tr>
      <w:tr>
        <w:tc>
          <w:tcPr>
            <w:tcW w:type="dxa" w:w="1300"/>
            <w:shd w:fill="FCECEF"/>
            <w:tcMar>
              <w:top w:w="100" w:type="dxa"/>
              <w:start w:w="120" w:type="dxa"/>
              <w:bottom w:w="100" w:type="dxa"/>
              <w:end w:w="120" w:type="dxa"/>
            </w:tcMar>
            <w:vAlign w:val="center"/>
          </w:tcPr>
          <w:p>
            <w:pPr>
              <w:keepNext w:val="0"/>
              <w:spacing w:before="0" w:after="0" w:line="259" w:lineRule="auto"/>
            </w:pPr>
            <w:r>
              <w:rPr>
                <w:rFonts w:ascii="Arial" w:hAnsi="Arial"/>
                <w:b/>
                <w:color w:val="0B1428"/>
                <w:sz w:val="17"/>
              </w:rPr>
              <w:t>MUST</w:t>
            </w:r>
          </w:p>
        </w:tc>
        <w:tc>
          <w:tcPr>
            <w:tcW w:type="dxa" w:w="4200"/>
            <w:shd w:fill="FCECEF"/>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Essential for the solution to be viable or the risk to be acceptable.</w:t>
            </w:r>
          </w:p>
        </w:tc>
        <w:tc>
          <w:tcPr>
            <w:tcW w:type="dxa" w:w="3860"/>
            <w:shd w:fill="FCECEF"/>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Pass/fail unless an approved exception and treatment exist.</w:t>
            </w:r>
          </w:p>
        </w:tc>
      </w:tr>
      <w:tr>
        <w:tc>
          <w:tcPr>
            <w:tcW w:type="dxa" w:w="1300"/>
            <w:shd w:fill="FFF8E0"/>
            <w:tcMar>
              <w:top w:w="100" w:type="dxa"/>
              <w:start w:w="120" w:type="dxa"/>
              <w:bottom w:w="100" w:type="dxa"/>
              <w:end w:w="120" w:type="dxa"/>
            </w:tcMar>
            <w:vAlign w:val="center"/>
          </w:tcPr>
          <w:p>
            <w:pPr>
              <w:keepNext w:val="0"/>
              <w:spacing w:before="0" w:after="0" w:line="259" w:lineRule="auto"/>
            </w:pPr>
            <w:r>
              <w:rPr>
                <w:rFonts w:ascii="Arial" w:hAnsi="Arial"/>
                <w:b/>
                <w:color w:val="0B1428"/>
                <w:sz w:val="17"/>
              </w:rPr>
              <w:t>SHOULD</w:t>
            </w:r>
          </w:p>
        </w:tc>
        <w:tc>
          <w:tcPr>
            <w:tcW w:type="dxa" w:w="4200"/>
            <w:shd w:fill="FFF8E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Important and expected, but a credible workaround or staged delivery may be acceptable.</w:t>
            </w:r>
          </w:p>
        </w:tc>
        <w:tc>
          <w:tcPr>
            <w:tcW w:type="dxa" w:w="3860"/>
            <w:shd w:fill="FFF8E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Scored and weighted; gaps require impact and treatment.</w:t>
            </w:r>
          </w:p>
        </w:tc>
      </w:tr>
      <w:tr>
        <w:tc>
          <w:tcPr>
            <w:tcW w:type="dxa" w:w="1300"/>
            <w:shd w:fill="EAF8F5"/>
            <w:tcMar>
              <w:top w:w="100" w:type="dxa"/>
              <w:start w:w="120" w:type="dxa"/>
              <w:bottom w:w="100" w:type="dxa"/>
              <w:end w:w="120" w:type="dxa"/>
            </w:tcMar>
            <w:vAlign w:val="center"/>
          </w:tcPr>
          <w:p>
            <w:pPr>
              <w:keepNext w:val="0"/>
              <w:spacing w:before="0" w:after="0" w:line="259" w:lineRule="auto"/>
            </w:pPr>
            <w:r>
              <w:rPr>
                <w:rFonts w:ascii="Arial" w:hAnsi="Arial"/>
                <w:b/>
                <w:color w:val="0B1428"/>
                <w:sz w:val="17"/>
              </w:rPr>
              <w:t>COULD</w:t>
            </w:r>
          </w:p>
        </w:tc>
        <w:tc>
          <w:tcPr>
            <w:tcW w:type="dxa" w:w="4200"/>
            <w:shd w:fill="EAF8F5"/>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Useful additional value if justified by evidence, cost and complexity.</w:t>
            </w:r>
          </w:p>
        </w:tc>
        <w:tc>
          <w:tcPr>
            <w:tcW w:type="dxa" w:w="3860"/>
            <w:shd w:fill="EAF8F5"/>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Low-weight differentiator; never allowed to mask a Must gap.</w:t>
            </w:r>
          </w:p>
        </w:tc>
      </w:tr>
      <w:tr>
        <w:tc>
          <w:tcPr>
            <w:tcW w:type="dxa" w:w="1300"/>
            <w:shd w:fill="EFF2F6"/>
            <w:tcMar>
              <w:top w:w="100" w:type="dxa"/>
              <w:start w:w="120" w:type="dxa"/>
              <w:bottom w:w="100" w:type="dxa"/>
              <w:end w:w="120" w:type="dxa"/>
            </w:tcMar>
            <w:vAlign w:val="center"/>
          </w:tcPr>
          <w:p>
            <w:pPr>
              <w:keepNext w:val="0"/>
              <w:spacing w:before="0" w:after="0" w:line="259" w:lineRule="auto"/>
            </w:pPr>
            <w:r>
              <w:rPr>
                <w:rFonts w:ascii="Arial" w:hAnsi="Arial"/>
                <w:b/>
                <w:color w:val="0B1428"/>
                <w:sz w:val="17"/>
              </w:rPr>
              <w:t>WON'T</w:t>
            </w:r>
          </w:p>
        </w:tc>
        <w:tc>
          <w:tcPr>
            <w:tcW w:type="dxa" w:w="4200"/>
            <w:shd w:fill="EFF2F6"/>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Explicitly excluded from this procurement or phase.</w:t>
            </w:r>
          </w:p>
        </w:tc>
        <w:tc>
          <w:tcPr>
            <w:tcW w:type="dxa" w:w="3860"/>
            <w:shd w:fill="EFF2F6"/>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Not scored; prevents scope drift and misleading assumptions.</w:t>
            </w:r>
          </w:p>
        </w:tc>
      </w:tr>
    </w:tbl>
    <w:p>
      <w:pPr>
        <w:spacing w:after="20"/>
      </w:pPr>
    </w:p>
    <w:p>
      <w:pPr>
        <w:pStyle w:val="Heading2"/>
        <w:keepNext/>
      </w:pPr>
      <w:r>
        <w:t>Requirement-writing test</w:t>
      </w:r>
    </w:p>
    <w:p>
      <w:pPr>
        <w:pStyle w:val="ListBullet"/>
        <w:keepNext w:val="0"/>
        <w:spacing w:before="0" w:after="80" w:line="288" w:lineRule="auto"/>
      </w:pPr>
      <w:r>
        <w:rPr>
          <w:rFonts w:ascii="Arial" w:hAnsi="Arial"/>
          <w:color w:val="0B1428"/>
          <w:sz w:val="20"/>
        </w:rPr>
        <w:t>Is the requirement connected to an outcome, control, constraint or material risk?</w:t>
      </w:r>
    </w:p>
    <w:p>
      <w:pPr>
        <w:pStyle w:val="ListBullet"/>
        <w:keepNext w:val="0"/>
        <w:spacing w:before="0" w:after="80" w:line="288" w:lineRule="auto"/>
      </w:pPr>
      <w:r>
        <w:rPr>
          <w:rFonts w:ascii="Arial" w:hAnsi="Arial"/>
          <w:color w:val="0B1428"/>
          <w:sz w:val="20"/>
        </w:rPr>
        <w:t>Can a provider answer it without guessing what 'enterprise-grade', 'seamless' or 'best practice' means?</w:t>
      </w:r>
    </w:p>
    <w:p>
      <w:pPr>
        <w:pStyle w:val="ListBullet"/>
        <w:keepNext w:val="0"/>
        <w:spacing w:before="0" w:after="80" w:line="288" w:lineRule="auto"/>
      </w:pPr>
      <w:r>
        <w:rPr>
          <w:rFonts w:ascii="Arial" w:hAnsi="Arial"/>
          <w:color w:val="0B1428"/>
          <w:sz w:val="20"/>
        </w:rPr>
        <w:t>Does it specify the evidence needed to support the answer?</w:t>
      </w:r>
    </w:p>
    <w:p>
      <w:pPr>
        <w:pStyle w:val="ListBullet"/>
        <w:keepNext w:val="0"/>
        <w:spacing w:before="0" w:after="80" w:line="288" w:lineRule="auto"/>
      </w:pPr>
      <w:r>
        <w:rPr>
          <w:rFonts w:ascii="Arial" w:hAnsi="Arial"/>
          <w:color w:val="0B1428"/>
          <w:sz w:val="20"/>
        </w:rPr>
        <w:t>Can the evaluation panel distinguish partial, adequate and strong responses?</w:t>
      </w:r>
    </w:p>
    <w:p>
      <w:pPr>
        <w:pStyle w:val="ListBullet"/>
        <w:keepNext w:val="0"/>
        <w:spacing w:before="0" w:after="80" w:line="288" w:lineRule="auto"/>
      </w:pPr>
      <w:r>
        <w:rPr>
          <w:rFonts w:ascii="Arial" w:hAnsi="Arial"/>
          <w:color w:val="0B1428"/>
          <w:sz w:val="20"/>
        </w:rPr>
        <w:t>Is the priority defensible if challenged by an executive, auditor or provider?</w:t>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shd w:fill="FFF5F6"/>
          </w:tcPr>
          <w:p>
            <w:pPr>
              <w:keepNext w:val="0"/>
              <w:spacing w:before="0" w:after="0" w:line="281" w:lineRule="auto"/>
            </w:pPr>
            <w:r>
              <w:rPr>
                <w:rFonts w:ascii="Arial" w:hAnsi="Arial"/>
                <w:b/>
                <w:color w:val="B4233A"/>
                <w:sz w:val="17"/>
              </w:rPr>
              <w:t xml:space="preserve">ANTI-PATTERN  </w:t>
            </w:r>
            <w:r>
              <w:rPr>
                <w:rFonts w:ascii="Arial" w:hAnsi="Arial"/>
                <w:color w:val="0B1428"/>
                <w:sz w:val="20"/>
              </w:rPr>
              <w:t>Do not make every requirement a Must. An oversized Must list narrows the market, encourages unsupported compliance claims and removes the information needed to compare credible options.</w:t>
            </w:r>
          </w:p>
        </w:tc>
      </w:tr>
    </w:tbl>
    <w:p>
      <w:pPr>
        <w:spacing w:after="20"/>
      </w:pPr>
    </w:p>
    <w:p>
      <w:r>
        <w:br w:type="page"/>
      </w:r>
    </w:p>
    <w:p>
      <w:pPr>
        <w:pStyle w:val="Heading1"/>
        <w:keepNext/>
      </w:pPr>
      <w:r>
        <w:t>3.1 Requirements register</w:t>
      </w:r>
    </w:p>
    <w:p>
      <w:pPr>
        <w:keepNext w:val="0"/>
        <w:spacing w:before="0" w:after="120" w:line="283" w:lineRule="auto"/>
        <w:jc w:val="left"/>
      </w:pPr>
      <w:r>
        <w:rPr>
          <w:rFonts w:ascii="Arial" w:hAnsi="Arial"/>
          <w:b w:val="0"/>
          <w:i w:val="0"/>
          <w:color w:val="0B1428"/>
          <w:sz w:val="21"/>
        </w:rPr>
        <w:t>Copy rows as required. Give each requirement one owner, one priority and one evidence request. Split compound requirements.</w:t>
      </w:r>
    </w:p>
    <w:tbl>
      <w:tblPr>
        <w:tblStyle w:val="TableGrid"/>
        <w:tblW w:type="dxa" w:w="9360"/>
        <w:jc w:val="left"/>
        <w:tblLayout w:type="fixed"/>
        <w:tblLook w:firstColumn="1" w:firstRow="1" w:lastColumn="0" w:lastRow="0" w:noHBand="0" w:noVBand="1" w:val="04A0"/>
        <w:tblInd w:w="120" w:type="dxa"/>
      </w:tblPr>
      <w:tblGrid>
        <w:gridCol w:w="700"/>
        <w:gridCol w:w="3180"/>
        <w:gridCol w:w="980"/>
        <w:gridCol w:w="2260"/>
        <w:gridCol w:w="1050"/>
        <w:gridCol w:w="1190"/>
      </w:tblGrid>
      <w:tr>
        <w:trPr>
          <w:tblHeader w:val="true"/>
        </w:trPr>
        <w:tc>
          <w:tcPr>
            <w:tcW w:type="dxa" w:w="70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ID</w:t>
            </w:r>
          </w:p>
        </w:tc>
        <w:tc>
          <w:tcPr>
            <w:tcW w:type="dxa" w:w="318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Requirement</w:t>
            </w:r>
          </w:p>
        </w:tc>
        <w:tc>
          <w:tcPr>
            <w:tcW w:type="dxa" w:w="98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MoSCoW</w:t>
            </w:r>
          </w:p>
        </w:tc>
        <w:tc>
          <w:tcPr>
            <w:tcW w:type="dxa" w:w="226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Evidence required</w:t>
            </w:r>
          </w:p>
        </w:tc>
        <w:tc>
          <w:tcPr>
            <w:tcW w:type="dxa" w:w="105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Owner</w:t>
            </w:r>
          </w:p>
        </w:tc>
        <w:tc>
          <w:tcPr>
            <w:tcW w:type="dxa" w:w="119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Treatment</w:t>
            </w:r>
          </w:p>
        </w:tc>
      </w:tr>
      <w:tr>
        <w:tc>
          <w:tcPr>
            <w:tcW w:type="dxa" w:w="7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t>SEC-01</w:t>
            </w:r>
          </w:p>
        </w:tc>
        <w:tc>
          <w:tcPr>
            <w:tcW w:type="dxa" w:w="318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t>The service must support phishing-resistant MFA for privileged access.</w:t>
            </w:r>
          </w:p>
        </w:tc>
        <w:tc>
          <w:tcPr>
            <w:tcW w:type="dxa" w:w="98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t>Must</w:t>
            </w:r>
          </w:p>
        </w:tc>
        <w:tc>
          <w:tcPr>
            <w:tcW w:type="dxa" w:w="22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t>Configuration evidence and implementation approach</w:t>
            </w:r>
          </w:p>
        </w:tc>
        <w:tc>
          <w:tcPr>
            <w:tcW w:type="dxa" w:w="10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t>IAM lead</w:t>
            </w:r>
          </w:p>
        </w:tc>
        <w:tc>
          <w:tcPr>
            <w:tcW w:type="dxa" w:w="119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t>Pass/fail</w:t>
            </w:r>
          </w:p>
        </w:tc>
      </w:tr>
      <w:tr>
        <w:tc>
          <w:tcPr>
            <w:tcW w:type="dxa" w:w="7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t>AI-04</w:t>
            </w:r>
          </w:p>
        </w:tc>
        <w:tc>
          <w:tcPr>
            <w:tcW w:type="dxa" w:w="318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t>The solution should provide traceable source references for generated answers.</w:t>
            </w:r>
          </w:p>
        </w:tc>
        <w:tc>
          <w:tcPr>
            <w:tcW w:type="dxa" w:w="98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t>Should</w:t>
            </w:r>
          </w:p>
        </w:tc>
        <w:tc>
          <w:tcPr>
            <w:tcW w:type="dxa" w:w="22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t>Demonstration using client-supplied test cases</w:t>
            </w:r>
          </w:p>
        </w:tc>
        <w:tc>
          <w:tcPr>
            <w:tcW w:type="dxa" w:w="10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t>AI product owner</w:t>
            </w:r>
          </w:p>
        </w:tc>
        <w:tc>
          <w:tcPr>
            <w:tcW w:type="dxa" w:w="119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t>Weighted score</w:t>
            </w:r>
          </w:p>
        </w:tc>
      </w:tr>
      <w:tr>
        <w:tc>
          <w:tcPr>
            <w:tcW w:type="dxa" w:w="7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t>IT-08</w:t>
            </w:r>
          </w:p>
        </w:tc>
        <w:tc>
          <w:tcPr>
            <w:tcW w:type="dxa" w:w="318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t>The platform could automate low-risk fulfilment workflows without custom code.</w:t>
            </w:r>
          </w:p>
        </w:tc>
        <w:tc>
          <w:tcPr>
            <w:tcW w:type="dxa" w:w="98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t>Could</w:t>
            </w:r>
          </w:p>
        </w:tc>
        <w:tc>
          <w:tcPr>
            <w:tcW w:type="dxa" w:w="22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t>Live demonstration and two comparable references</w:t>
            </w:r>
          </w:p>
        </w:tc>
        <w:tc>
          <w:tcPr>
            <w:tcW w:type="dxa" w:w="10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t>Service owner</w:t>
            </w:r>
          </w:p>
        </w:tc>
        <w:tc>
          <w:tcPr>
            <w:tcW w:type="dxa" w:w="119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t>Differentiator</w:t>
            </w:r>
          </w:p>
        </w:tc>
      </w:tr>
      <w:tr>
        <w:tc>
          <w:tcPr>
            <w:tcW w:type="dxa" w:w="7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t>SCP-01</w:t>
            </w:r>
          </w:p>
        </w:tc>
        <w:tc>
          <w:tcPr>
            <w:tcW w:type="dxa" w:w="318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t>Autonomous production changes are out of scope for this phase.</w:t>
            </w:r>
          </w:p>
        </w:tc>
        <w:tc>
          <w:tcPr>
            <w:tcW w:type="dxa" w:w="98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t>Won't</w:t>
            </w:r>
          </w:p>
        </w:tc>
        <w:tc>
          <w:tcPr>
            <w:tcW w:type="dxa" w:w="22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t>Provider acknowledgement</w:t>
            </w:r>
          </w:p>
        </w:tc>
        <w:tc>
          <w:tcPr>
            <w:tcW w:type="dxa" w:w="10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t>Change manager</w:t>
            </w:r>
          </w:p>
        </w:tc>
        <w:tc>
          <w:tcPr>
            <w:tcW w:type="dxa" w:w="119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t>Not scored</w:t>
            </w:r>
          </w:p>
        </w:tc>
      </w:tr>
      <w:tr>
        <w:tc>
          <w:tcPr>
            <w:tcW w:type="dxa" w:w="7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t>[ID]</w:t>
            </w:r>
          </w:p>
        </w:tc>
        <w:tc>
          <w:tcPr>
            <w:tcW w:type="dxa" w:w="318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t>[Atomic requirement]</w:t>
            </w:r>
          </w:p>
        </w:tc>
        <w:tc>
          <w:tcPr>
            <w:tcW w:type="dxa" w:w="98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t>[Tier]</w:t>
            </w:r>
          </w:p>
        </w:tc>
        <w:tc>
          <w:tcPr>
            <w:tcW w:type="dxa" w:w="22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t>[Document, demo, test, reference or contract commitment]</w:t>
            </w:r>
          </w:p>
        </w:tc>
        <w:tc>
          <w:tcPr>
            <w:tcW w:type="dxa" w:w="10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t>[Role]</w:t>
            </w:r>
          </w:p>
        </w:tc>
        <w:tc>
          <w:tcPr>
            <w:tcW w:type="dxa" w:w="119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t>[Method]</w:t>
            </w:r>
          </w:p>
        </w:tc>
      </w:tr>
      <w:tr>
        <w:tc>
          <w:tcPr>
            <w:tcW w:type="dxa" w:w="7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t>[ID]</w:t>
            </w:r>
          </w:p>
        </w:tc>
        <w:tc>
          <w:tcPr>
            <w:tcW w:type="dxa" w:w="318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98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22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10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119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r>
      <w:tr>
        <w:tc>
          <w:tcPr>
            <w:tcW w:type="dxa" w:w="7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t>[ID]</w:t>
            </w:r>
          </w:p>
        </w:tc>
        <w:tc>
          <w:tcPr>
            <w:tcW w:type="dxa" w:w="318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98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22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10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119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r>
      <w:tr>
        <w:tc>
          <w:tcPr>
            <w:tcW w:type="dxa" w:w="7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t>[ID]</w:t>
            </w:r>
          </w:p>
        </w:tc>
        <w:tc>
          <w:tcPr>
            <w:tcW w:type="dxa" w:w="318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98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22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10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119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r>
      <w:tr>
        <w:tc>
          <w:tcPr>
            <w:tcW w:type="dxa" w:w="7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t>[ID]</w:t>
            </w:r>
          </w:p>
        </w:tc>
        <w:tc>
          <w:tcPr>
            <w:tcW w:type="dxa" w:w="318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98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22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10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119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r>
      <w:tr>
        <w:tc>
          <w:tcPr>
            <w:tcW w:type="dxa" w:w="7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t>[ID]</w:t>
            </w:r>
          </w:p>
        </w:tc>
        <w:tc>
          <w:tcPr>
            <w:tcW w:type="dxa" w:w="318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98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22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10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119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r>
      <w:tr>
        <w:tc>
          <w:tcPr>
            <w:tcW w:type="dxa" w:w="7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t>[ID]</w:t>
            </w:r>
          </w:p>
        </w:tc>
        <w:tc>
          <w:tcPr>
            <w:tcW w:type="dxa" w:w="318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98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22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10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119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r>
    </w:tbl>
    <w:p>
      <w:pPr>
        <w:spacing w:after="20"/>
      </w:pPr>
    </w:p>
    <w:p>
      <w:pPr>
        <w:keepNext w:val="0"/>
        <w:spacing w:before="0" w:after="120" w:line="283" w:lineRule="auto"/>
        <w:jc w:val="left"/>
      </w:pPr>
      <w:r>
        <w:rPr>
          <w:rFonts w:ascii="Arial" w:hAnsi="Arial"/>
          <w:b w:val="0"/>
          <w:i/>
          <w:color w:val="41506E"/>
          <w:sz w:val="16"/>
        </w:rPr>
        <w:t>Recommended coding: domain abbreviation + sequence (for example, SEC-01, AI-04, COM-03). Keep a separate change log if requirements are amended after issue.</w:t>
      </w:r>
    </w:p>
    <w:p>
      <w:r>
        <w:br w:type="page"/>
      </w:r>
    </w:p>
    <w:p>
      <w:pPr>
        <w:pStyle w:val="Heading1"/>
        <w:keepNext/>
      </w:pPr>
      <w:r>
        <w:t>4. Provider response and evidence schedule</w:t>
      </w:r>
    </w:p>
    <w:p>
      <w:pPr>
        <w:keepNext w:val="0"/>
        <w:spacing w:before="0" w:after="120" w:line="283" w:lineRule="auto"/>
        <w:jc w:val="left"/>
      </w:pPr>
      <w:r>
        <w:rPr>
          <w:rFonts w:ascii="Arial" w:hAnsi="Arial"/>
          <w:b w:val="0"/>
          <w:i w:val="0"/>
          <w:color w:val="0B1428"/>
          <w:sz w:val="21"/>
        </w:rPr>
        <w:t>Require every provider to answer in the same structure. Marketing collateral may be supplied as supporting material, but it must not replace the response schedule.</w:t>
      </w:r>
    </w:p>
    <w:tbl>
      <w:tblPr>
        <w:tblStyle w:val="TableGrid"/>
        <w:tblW w:type="dxa" w:w="9360"/>
        <w:jc w:val="left"/>
        <w:tblLayout w:type="fixed"/>
        <w:tblLook w:firstColumn="1" w:firstRow="1" w:lastColumn="0" w:lastRow="0" w:noHBand="0" w:noVBand="1" w:val="04A0"/>
        <w:tblInd w:w="120" w:type="dxa"/>
      </w:tblPr>
      <w:tblGrid>
        <w:gridCol w:w="2200"/>
        <w:gridCol w:w="7160"/>
      </w:tblGrid>
      <w:tr>
        <w:trPr>
          <w:tblHeader w:val="true"/>
        </w:trPr>
        <w:tc>
          <w:tcPr>
            <w:tcW w:type="dxa" w:w="220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Response field</w:t>
            </w:r>
          </w:p>
        </w:tc>
        <w:tc>
          <w:tcPr>
            <w:tcW w:type="dxa" w:w="716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Provider instruction</w:t>
            </w:r>
          </w:p>
        </w:tc>
      </w:tr>
      <w:tr>
        <w:tc>
          <w:tcPr>
            <w:tcW w:type="dxa" w:w="2200"/>
            <w:tcMar>
              <w:top w:w="100" w:type="dxa"/>
              <w:start w:w="120" w:type="dxa"/>
              <w:bottom w:w="100" w:type="dxa"/>
              <w:end w:w="120" w:type="dxa"/>
            </w:tcMar>
            <w:vAlign w:val="center"/>
          </w:tcPr>
          <w:p>
            <w:pPr>
              <w:keepNext w:val="0"/>
              <w:spacing w:before="0" w:after="0" w:line="259" w:lineRule="auto"/>
            </w:pPr>
            <w:r>
              <w:rPr>
                <w:rFonts w:ascii="Arial" w:hAnsi="Arial"/>
                <w:b/>
                <w:color w:val="0B1428"/>
                <w:sz w:val="18"/>
              </w:rPr>
              <w:t>Compliance</w:t>
            </w:r>
          </w:p>
        </w:tc>
        <w:tc>
          <w:tcPr>
            <w:tcW w:type="dxa" w:w="71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8"/>
              </w:rPr>
              <w:t>Select Comply / Partially comply / Does not comply / Not applicable.</w:t>
            </w:r>
          </w:p>
        </w:tc>
      </w:tr>
      <w:tr>
        <w:tc>
          <w:tcPr>
            <w:tcW w:type="dxa" w:w="2200"/>
            <w:tcMar>
              <w:top w:w="100" w:type="dxa"/>
              <w:start w:w="120" w:type="dxa"/>
              <w:bottom w:w="100" w:type="dxa"/>
              <w:end w:w="120" w:type="dxa"/>
            </w:tcMar>
            <w:vAlign w:val="center"/>
          </w:tcPr>
          <w:p>
            <w:pPr>
              <w:keepNext w:val="0"/>
              <w:spacing w:before="0" w:after="0" w:line="259" w:lineRule="auto"/>
            </w:pPr>
            <w:r>
              <w:rPr>
                <w:rFonts w:ascii="Arial" w:hAnsi="Arial"/>
                <w:b/>
                <w:color w:val="0B1428"/>
                <w:sz w:val="18"/>
              </w:rPr>
              <w:t>Response</w:t>
            </w:r>
          </w:p>
        </w:tc>
        <w:tc>
          <w:tcPr>
            <w:tcW w:type="dxa" w:w="71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8"/>
              </w:rPr>
              <w:t>Explain how the proposed solution meets the requirement in the offered scope.</w:t>
            </w:r>
          </w:p>
        </w:tc>
      </w:tr>
      <w:tr>
        <w:tc>
          <w:tcPr>
            <w:tcW w:type="dxa" w:w="2200"/>
            <w:tcMar>
              <w:top w:w="100" w:type="dxa"/>
              <w:start w:w="120" w:type="dxa"/>
              <w:bottom w:w="100" w:type="dxa"/>
              <w:end w:w="120" w:type="dxa"/>
            </w:tcMar>
            <w:vAlign w:val="center"/>
          </w:tcPr>
          <w:p>
            <w:pPr>
              <w:keepNext w:val="0"/>
              <w:spacing w:before="0" w:after="0" w:line="259" w:lineRule="auto"/>
            </w:pPr>
            <w:r>
              <w:rPr>
                <w:rFonts w:ascii="Arial" w:hAnsi="Arial"/>
                <w:b/>
                <w:color w:val="0B1428"/>
                <w:sz w:val="18"/>
              </w:rPr>
              <w:t>Evidence</w:t>
            </w:r>
          </w:p>
        </w:tc>
        <w:tc>
          <w:tcPr>
            <w:tcW w:type="dxa" w:w="71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8"/>
              </w:rPr>
              <w:t>Identify the attached document, contract commitment, demonstration, test result or reference.</w:t>
            </w:r>
          </w:p>
        </w:tc>
      </w:tr>
      <w:tr>
        <w:tc>
          <w:tcPr>
            <w:tcW w:type="dxa" w:w="2200"/>
            <w:tcMar>
              <w:top w:w="100" w:type="dxa"/>
              <w:start w:w="120" w:type="dxa"/>
              <w:bottom w:w="100" w:type="dxa"/>
              <w:end w:w="120" w:type="dxa"/>
            </w:tcMar>
            <w:vAlign w:val="center"/>
          </w:tcPr>
          <w:p>
            <w:pPr>
              <w:keepNext w:val="0"/>
              <w:spacing w:before="0" w:after="0" w:line="259" w:lineRule="auto"/>
            </w:pPr>
            <w:r>
              <w:rPr>
                <w:rFonts w:ascii="Arial" w:hAnsi="Arial"/>
                <w:b/>
                <w:color w:val="0B1428"/>
                <w:sz w:val="18"/>
              </w:rPr>
              <w:t>Dependency</w:t>
            </w:r>
          </w:p>
        </w:tc>
        <w:tc>
          <w:tcPr>
            <w:tcW w:type="dxa" w:w="71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8"/>
              </w:rPr>
              <w:t>State client actions, third parties, licences, data, access or assumptions required.</w:t>
            </w:r>
          </w:p>
        </w:tc>
      </w:tr>
      <w:tr>
        <w:tc>
          <w:tcPr>
            <w:tcW w:type="dxa" w:w="2200"/>
            <w:tcMar>
              <w:top w:w="100" w:type="dxa"/>
              <w:start w:w="120" w:type="dxa"/>
              <w:bottom w:w="100" w:type="dxa"/>
              <w:end w:w="120" w:type="dxa"/>
            </w:tcMar>
            <w:vAlign w:val="center"/>
          </w:tcPr>
          <w:p>
            <w:pPr>
              <w:keepNext w:val="0"/>
              <w:spacing w:before="0" w:after="0" w:line="259" w:lineRule="auto"/>
            </w:pPr>
            <w:r>
              <w:rPr>
                <w:rFonts w:ascii="Arial" w:hAnsi="Arial"/>
                <w:b/>
                <w:color w:val="0B1428"/>
                <w:sz w:val="18"/>
              </w:rPr>
              <w:t>Delivery timing</w:t>
            </w:r>
          </w:p>
        </w:tc>
        <w:tc>
          <w:tcPr>
            <w:tcW w:type="dxa" w:w="71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8"/>
              </w:rPr>
              <w:t>State whether available at contract start, during implementation or on a committed roadmap.</w:t>
            </w:r>
          </w:p>
        </w:tc>
      </w:tr>
      <w:tr>
        <w:tc>
          <w:tcPr>
            <w:tcW w:type="dxa" w:w="2200"/>
            <w:tcMar>
              <w:top w:w="100" w:type="dxa"/>
              <w:start w:w="120" w:type="dxa"/>
              <w:bottom w:w="100" w:type="dxa"/>
              <w:end w:w="120" w:type="dxa"/>
            </w:tcMar>
            <w:vAlign w:val="center"/>
          </w:tcPr>
          <w:p>
            <w:pPr>
              <w:keepNext w:val="0"/>
              <w:spacing w:before="0" w:after="0" w:line="259" w:lineRule="auto"/>
            </w:pPr>
            <w:r>
              <w:rPr>
                <w:rFonts w:ascii="Arial" w:hAnsi="Arial"/>
                <w:b/>
                <w:color w:val="0B1428"/>
                <w:sz w:val="18"/>
              </w:rPr>
              <w:t>Commercial impact</w:t>
            </w:r>
          </w:p>
        </w:tc>
        <w:tc>
          <w:tcPr>
            <w:tcW w:type="dxa" w:w="71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8"/>
              </w:rPr>
              <w:t>Identify included cost, optional cost or pricing dependency.</w:t>
            </w:r>
          </w:p>
        </w:tc>
      </w:tr>
      <w:tr>
        <w:tc>
          <w:tcPr>
            <w:tcW w:type="dxa" w:w="2200"/>
            <w:tcMar>
              <w:top w:w="100" w:type="dxa"/>
              <w:start w:w="120" w:type="dxa"/>
              <w:bottom w:w="100" w:type="dxa"/>
              <w:end w:w="120" w:type="dxa"/>
            </w:tcMar>
            <w:vAlign w:val="center"/>
          </w:tcPr>
          <w:p>
            <w:pPr>
              <w:keepNext w:val="0"/>
              <w:spacing w:before="0" w:after="0" w:line="259" w:lineRule="auto"/>
            </w:pPr>
            <w:r>
              <w:rPr>
                <w:rFonts w:ascii="Arial" w:hAnsi="Arial"/>
                <w:b/>
                <w:color w:val="0B1428"/>
                <w:sz w:val="18"/>
              </w:rPr>
              <w:t>Exception</w:t>
            </w:r>
          </w:p>
        </w:tc>
        <w:tc>
          <w:tcPr>
            <w:tcW w:type="dxa" w:w="71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8"/>
              </w:rPr>
              <w:t>Describe any qualification, workaround, limitation or contractual exclusion.</w:t>
            </w:r>
          </w:p>
        </w:tc>
      </w:tr>
    </w:tbl>
    <w:p>
      <w:pPr>
        <w:spacing w:after="20"/>
      </w:pPr>
    </w:p>
    <w:p>
      <w:pPr>
        <w:pStyle w:val="Heading2"/>
        <w:keepNext/>
      </w:pPr>
      <w:r>
        <w:t>Evidence strength scale</w:t>
      </w:r>
    </w:p>
    <w:tbl>
      <w:tblPr>
        <w:tblStyle w:val="TableGrid"/>
        <w:tblW w:type="dxa" w:w="9360"/>
        <w:jc w:val="left"/>
        <w:tblLayout w:type="fixed"/>
        <w:tblLook w:firstColumn="1" w:firstRow="1" w:lastColumn="0" w:lastRow="0" w:noHBand="0" w:noVBand="1" w:val="04A0"/>
        <w:tblInd w:w="120" w:type="dxa"/>
      </w:tblPr>
      <w:tblGrid>
        <w:gridCol w:w="750"/>
        <w:gridCol w:w="4250"/>
        <w:gridCol w:w="4360"/>
      </w:tblGrid>
      <w:tr>
        <w:trPr>
          <w:tblHeader w:val="true"/>
        </w:trPr>
        <w:tc>
          <w:tcPr>
            <w:tcW w:type="dxa" w:w="75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Level</w:t>
            </w:r>
          </w:p>
        </w:tc>
        <w:tc>
          <w:tcPr>
            <w:tcW w:type="dxa" w:w="425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Evidence</w:t>
            </w:r>
          </w:p>
        </w:tc>
        <w:tc>
          <w:tcPr>
            <w:tcW w:type="dxa" w:w="436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Evaluation meaning</w:t>
            </w:r>
          </w:p>
        </w:tc>
      </w:tr>
      <w:tr>
        <w:tc>
          <w:tcPr>
            <w:tcW w:type="dxa" w:w="7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0</w:t>
            </w:r>
          </w:p>
        </w:tc>
        <w:tc>
          <w:tcPr>
            <w:tcW w:type="dxa" w:w="42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No answer or unsupported assertion</w:t>
            </w:r>
          </w:p>
        </w:tc>
        <w:tc>
          <w:tcPr>
            <w:tcW w:type="dxa" w:w="43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No usable evidence</w:t>
            </w:r>
          </w:p>
        </w:tc>
      </w:tr>
      <w:tr>
        <w:tc>
          <w:tcPr>
            <w:tcW w:type="dxa" w:w="7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1</w:t>
            </w:r>
          </w:p>
        </w:tc>
        <w:tc>
          <w:tcPr>
            <w:tcW w:type="dxa" w:w="42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Roadmap, intention or general collateral</w:t>
            </w:r>
          </w:p>
        </w:tc>
        <w:tc>
          <w:tcPr>
            <w:tcW w:type="dxa" w:w="43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Material uncertainty</w:t>
            </w:r>
          </w:p>
        </w:tc>
      </w:tr>
      <w:tr>
        <w:tc>
          <w:tcPr>
            <w:tcW w:type="dxa" w:w="7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2</w:t>
            </w:r>
          </w:p>
        </w:tc>
        <w:tc>
          <w:tcPr>
            <w:tcW w:type="dxa" w:w="42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Documented capability with limited applicability evidence</w:t>
            </w:r>
          </w:p>
        </w:tc>
        <w:tc>
          <w:tcPr>
            <w:tcW w:type="dxa" w:w="43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Some support; material gaps remain</w:t>
            </w:r>
          </w:p>
        </w:tc>
      </w:tr>
      <w:tr>
        <w:tc>
          <w:tcPr>
            <w:tcW w:type="dxa" w:w="7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3</w:t>
            </w:r>
          </w:p>
        </w:tc>
        <w:tc>
          <w:tcPr>
            <w:tcW w:type="dxa" w:w="42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Relevant documentation plus a credible demonstration or artefact</w:t>
            </w:r>
          </w:p>
        </w:tc>
        <w:tc>
          <w:tcPr>
            <w:tcW w:type="dxa" w:w="43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Adequate evidence</w:t>
            </w:r>
          </w:p>
        </w:tc>
      </w:tr>
      <w:tr>
        <w:tc>
          <w:tcPr>
            <w:tcW w:type="dxa" w:w="7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4</w:t>
            </w:r>
          </w:p>
        </w:tc>
        <w:tc>
          <w:tcPr>
            <w:tcW w:type="dxa" w:w="42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Client-specific test, contract commitment or closely comparable reference</w:t>
            </w:r>
          </w:p>
        </w:tc>
        <w:tc>
          <w:tcPr>
            <w:tcW w:type="dxa" w:w="43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Strong evidence</w:t>
            </w:r>
          </w:p>
        </w:tc>
      </w:tr>
      <w:tr>
        <w:tc>
          <w:tcPr>
            <w:tcW w:type="dxa" w:w="7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5</w:t>
            </w:r>
          </w:p>
        </w:tc>
        <w:tc>
          <w:tcPr>
            <w:tcW w:type="dxa" w:w="42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Independently verifiable evidence across the offered service and operating model</w:t>
            </w:r>
          </w:p>
        </w:tc>
        <w:tc>
          <w:tcPr>
            <w:tcW w:type="dxa" w:w="43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Exceptional confidence</w:t>
            </w:r>
          </w:p>
        </w:tc>
      </w:tr>
    </w:tbl>
    <w:p>
      <w:pPr>
        <w:spacing w:after="20"/>
      </w:pP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shd w:fill="EAFBFF"/>
          </w:tcPr>
          <w:p>
            <w:pPr>
              <w:keepNext w:val="0"/>
              <w:spacing w:before="0" w:after="0" w:line="281" w:lineRule="auto"/>
            </w:pPr>
            <w:r>
              <w:rPr>
                <w:rFonts w:ascii="Arial" w:hAnsi="Arial"/>
                <w:b/>
                <w:color w:val="00B8D9"/>
                <w:sz w:val="17"/>
              </w:rPr>
              <w:t xml:space="preserve">RULE  </w:t>
            </w:r>
            <w:r>
              <w:rPr>
                <w:rFonts w:ascii="Arial" w:hAnsi="Arial"/>
                <w:color w:val="0B1428"/>
                <w:sz w:val="20"/>
              </w:rPr>
              <w:t>Score what is evidenced in the offered scope. Do not score a capability that exists only in another edition, future roadmap or unpriced service tier.</w:t>
            </w:r>
          </w:p>
        </w:tc>
      </w:tr>
    </w:tbl>
    <w:p>
      <w:pPr>
        <w:spacing w:after="20"/>
      </w:pPr>
    </w:p>
    <w:p>
      <w:r>
        <w:br w:type="page"/>
      </w:r>
    </w:p>
    <w:p>
      <w:pPr>
        <w:pStyle w:val="Heading1"/>
        <w:keepNext/>
      </w:pPr>
      <w:r>
        <w:t>5. Evaluation criteria and scoring</w:t>
      </w:r>
    </w:p>
    <w:p>
      <w:pPr>
        <w:keepNext w:val="0"/>
        <w:spacing w:before="0" w:after="120" w:line="283" w:lineRule="auto"/>
        <w:jc w:val="left"/>
      </w:pPr>
      <w:r>
        <w:rPr>
          <w:rFonts w:ascii="Arial" w:hAnsi="Arial"/>
          <w:b w:val="0"/>
          <w:i w:val="0"/>
          <w:color w:val="0B1428"/>
          <w:sz w:val="21"/>
        </w:rPr>
        <w:t>Approve weights and disqualification rules before responses are opened. Keep the scale behavioural so panel members can explain why a score was assigned.</w:t>
      </w:r>
    </w:p>
    <w:tbl>
      <w:tblPr>
        <w:tblStyle w:val="TableGrid"/>
        <w:tblW w:type="dxa" w:w="9360"/>
        <w:jc w:val="left"/>
        <w:tblLayout w:type="fixed"/>
        <w:tblLook w:firstColumn="1" w:firstRow="1" w:lastColumn="0" w:lastRow="0" w:noHBand="0" w:noVBand="1" w:val="04A0"/>
        <w:tblInd w:w="120" w:type="dxa"/>
      </w:tblPr>
      <w:tblGrid>
        <w:gridCol w:w="750"/>
        <w:gridCol w:w="1800"/>
        <w:gridCol w:w="6810"/>
      </w:tblGrid>
      <w:tr>
        <w:trPr>
          <w:tblHeader w:val="true"/>
        </w:trPr>
        <w:tc>
          <w:tcPr>
            <w:tcW w:type="dxa" w:w="75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Score</w:t>
            </w:r>
          </w:p>
        </w:tc>
        <w:tc>
          <w:tcPr>
            <w:tcW w:type="dxa" w:w="180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Descriptor</w:t>
            </w:r>
          </w:p>
        </w:tc>
        <w:tc>
          <w:tcPr>
            <w:tcW w:type="dxa" w:w="681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Behavioural anchor</w:t>
            </w:r>
          </w:p>
        </w:tc>
      </w:tr>
      <w:tr>
        <w:tc>
          <w:tcPr>
            <w:tcW w:type="dxa" w:w="7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0</w:t>
            </w:r>
          </w:p>
        </w:tc>
        <w:tc>
          <w:tcPr>
            <w:tcW w:type="dxa" w:w="18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No response</w:t>
            </w:r>
          </w:p>
        </w:tc>
        <w:tc>
          <w:tcPr>
            <w:tcW w:type="dxa" w:w="681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No usable answer or evidence.</w:t>
            </w:r>
          </w:p>
        </w:tc>
      </w:tr>
      <w:tr>
        <w:tc>
          <w:tcPr>
            <w:tcW w:type="dxa" w:w="7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1</w:t>
            </w:r>
          </w:p>
        </w:tc>
        <w:tc>
          <w:tcPr>
            <w:tcW w:type="dxa" w:w="18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Materially deficient</w:t>
            </w:r>
          </w:p>
        </w:tc>
        <w:tc>
          <w:tcPr>
            <w:tcW w:type="dxa" w:w="681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Fails most of the criterion or introduces unacceptable risk.</w:t>
            </w:r>
          </w:p>
        </w:tc>
      </w:tr>
      <w:tr>
        <w:tc>
          <w:tcPr>
            <w:tcW w:type="dxa" w:w="7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2</w:t>
            </w:r>
          </w:p>
        </w:tc>
        <w:tc>
          <w:tcPr>
            <w:tcW w:type="dxa" w:w="18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Partially meets</w:t>
            </w:r>
          </w:p>
        </w:tc>
        <w:tc>
          <w:tcPr>
            <w:tcW w:type="dxa" w:w="681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Some capability, but meaningful gaps or weak evidence remain.</w:t>
            </w:r>
          </w:p>
        </w:tc>
      </w:tr>
      <w:tr>
        <w:tc>
          <w:tcPr>
            <w:tcW w:type="dxa" w:w="7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3</w:t>
            </w:r>
          </w:p>
        </w:tc>
        <w:tc>
          <w:tcPr>
            <w:tcW w:type="dxa" w:w="18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Meets</w:t>
            </w:r>
          </w:p>
        </w:tc>
        <w:tc>
          <w:tcPr>
            <w:tcW w:type="dxa" w:w="681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Satisfies the criterion with adequate evidence and manageable risk.</w:t>
            </w:r>
          </w:p>
        </w:tc>
      </w:tr>
      <w:tr>
        <w:tc>
          <w:tcPr>
            <w:tcW w:type="dxa" w:w="7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4</w:t>
            </w:r>
          </w:p>
        </w:tc>
        <w:tc>
          <w:tcPr>
            <w:tcW w:type="dxa" w:w="18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Exceeds</w:t>
            </w:r>
          </w:p>
        </w:tc>
        <w:tc>
          <w:tcPr>
            <w:tcW w:type="dxa" w:w="681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Provides relevant additional value with strong evidence.</w:t>
            </w:r>
          </w:p>
        </w:tc>
      </w:tr>
      <w:tr>
        <w:tc>
          <w:tcPr>
            <w:tcW w:type="dxa" w:w="7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5</w:t>
            </w:r>
          </w:p>
        </w:tc>
        <w:tc>
          <w:tcPr>
            <w:tcW w:type="dxa" w:w="18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Exceptional</w:t>
            </w:r>
          </w:p>
        </w:tc>
        <w:tc>
          <w:tcPr>
            <w:tcW w:type="dxa" w:w="681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Materially strengthens the outcome with highly credible evidence.</w:t>
            </w:r>
          </w:p>
        </w:tc>
      </w:tr>
    </w:tbl>
    <w:p>
      <w:pPr>
        <w:spacing w:after="20"/>
      </w:pP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shd w:fill="F2F7FC"/>
          </w:tcPr>
          <w:p>
            <w:pPr>
              <w:keepNext w:val="0"/>
              <w:spacing w:before="0" w:after="0" w:line="281" w:lineRule="auto"/>
            </w:pPr>
            <w:r>
              <w:rPr>
                <w:rFonts w:ascii="Arial" w:hAnsi="Arial"/>
                <w:b/>
                <w:color w:val="00B8D9"/>
                <w:sz w:val="17"/>
              </w:rPr>
              <w:t xml:space="preserve">WEIGHTED FORMULA  </w:t>
            </w:r>
            <w:r>
              <w:rPr>
                <w:rFonts w:ascii="Arial" w:hAnsi="Arial"/>
                <w:color w:val="0B1428"/>
                <w:sz w:val="20"/>
              </w:rPr>
              <w:t>Weighted result = (moderated score / 5) x criterion weight. Keep pass/fail Must requirements outside the weighted total unless policy requires otherwise.</w:t>
            </w:r>
          </w:p>
        </w:tc>
      </w:tr>
    </w:tbl>
    <w:p>
      <w:pPr>
        <w:spacing w:after="20"/>
      </w:pPr>
    </w:p>
    <w:p>
      <w:pPr>
        <w:pStyle w:val="Heading2"/>
        <w:keepNext/>
      </w:pPr>
      <w:r>
        <w:t>Illustrative weighting</w:t>
      </w:r>
    </w:p>
    <w:tbl>
      <w:tblPr>
        <w:tblStyle w:val="TableGrid"/>
        <w:tblW w:type="dxa" w:w="9360"/>
        <w:jc w:val="left"/>
        <w:tblLayout w:type="fixed"/>
        <w:tblLook w:firstColumn="1" w:firstRow="1" w:lastColumn="0" w:lastRow="0" w:noHBand="0" w:noVBand="1" w:val="04A0"/>
        <w:tblInd w:w="120" w:type="dxa"/>
      </w:tblPr>
      <w:tblGrid>
        <w:gridCol w:w="3000"/>
        <w:gridCol w:w="850"/>
        <w:gridCol w:w="1050"/>
        <w:gridCol w:w="1050"/>
        <w:gridCol w:w="3410"/>
      </w:tblGrid>
      <w:tr>
        <w:trPr>
          <w:tblHeader w:val="true"/>
        </w:trPr>
        <w:tc>
          <w:tcPr>
            <w:tcW w:type="dxa" w:w="300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Criterion</w:t>
            </w:r>
          </w:p>
        </w:tc>
        <w:tc>
          <w:tcPr>
            <w:tcW w:type="dxa" w:w="85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Weight</w:t>
            </w:r>
          </w:p>
        </w:tc>
        <w:tc>
          <w:tcPr>
            <w:tcW w:type="dxa" w:w="105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Provider A</w:t>
            </w:r>
          </w:p>
        </w:tc>
        <w:tc>
          <w:tcPr>
            <w:tcW w:type="dxa" w:w="105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Provider B</w:t>
            </w:r>
          </w:p>
        </w:tc>
        <w:tc>
          <w:tcPr>
            <w:tcW w:type="dxa" w:w="341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Moderation note</w:t>
            </w:r>
          </w:p>
        </w:tc>
      </w:tr>
      <w:tr>
        <w:tc>
          <w:tcPr>
            <w:tcW w:type="dxa" w:w="3000"/>
            <w:tcMar>
              <w:top w:w="100" w:type="dxa"/>
              <w:start w:w="120" w:type="dxa"/>
              <w:bottom w:w="100" w:type="dxa"/>
              <w:end w:w="120" w:type="dxa"/>
            </w:tcMar>
            <w:vAlign w:val="center"/>
          </w:tcPr>
          <w:p>
            <w:pPr>
              <w:keepNext w:val="0"/>
              <w:spacing w:before="0" w:after="0" w:line="259" w:lineRule="auto"/>
            </w:pPr>
            <w:r>
              <w:rPr>
                <w:rFonts w:ascii="Arial" w:hAnsi="Arial"/>
                <w:b/>
                <w:color w:val="0B1428"/>
                <w:sz w:val="16"/>
              </w:rPr>
              <w:t>Outcome and functional fit</w:t>
            </w:r>
          </w:p>
        </w:tc>
        <w:tc>
          <w:tcPr>
            <w:tcW w:type="dxa" w:w="8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25%</w:t>
            </w:r>
          </w:p>
        </w:tc>
        <w:tc>
          <w:tcPr>
            <w:tcW w:type="dxa" w:w="10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10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341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r>
      <w:tr>
        <w:tc>
          <w:tcPr>
            <w:tcW w:type="dxa" w:w="3000"/>
            <w:tcMar>
              <w:top w:w="100" w:type="dxa"/>
              <w:start w:w="120" w:type="dxa"/>
              <w:bottom w:w="100" w:type="dxa"/>
              <w:end w:w="120" w:type="dxa"/>
            </w:tcMar>
            <w:vAlign w:val="center"/>
          </w:tcPr>
          <w:p>
            <w:pPr>
              <w:keepNext w:val="0"/>
              <w:spacing w:before="0" w:after="0" w:line="259" w:lineRule="auto"/>
            </w:pPr>
            <w:r>
              <w:rPr>
                <w:rFonts w:ascii="Arial" w:hAnsi="Arial"/>
                <w:b/>
                <w:color w:val="0B1428"/>
                <w:sz w:val="16"/>
              </w:rPr>
              <w:t>Security, privacy and risk</w:t>
            </w:r>
          </w:p>
        </w:tc>
        <w:tc>
          <w:tcPr>
            <w:tcW w:type="dxa" w:w="8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20%</w:t>
            </w:r>
          </w:p>
        </w:tc>
        <w:tc>
          <w:tcPr>
            <w:tcW w:type="dxa" w:w="10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10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341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r>
      <w:tr>
        <w:tc>
          <w:tcPr>
            <w:tcW w:type="dxa" w:w="3000"/>
            <w:tcMar>
              <w:top w:w="100" w:type="dxa"/>
              <w:start w:w="120" w:type="dxa"/>
              <w:bottom w:w="100" w:type="dxa"/>
              <w:end w:w="120" w:type="dxa"/>
            </w:tcMar>
            <w:vAlign w:val="center"/>
          </w:tcPr>
          <w:p>
            <w:pPr>
              <w:keepNext w:val="0"/>
              <w:spacing w:before="0" w:after="0" w:line="259" w:lineRule="auto"/>
            </w:pPr>
            <w:r>
              <w:rPr>
                <w:rFonts w:ascii="Arial" w:hAnsi="Arial"/>
                <w:b/>
                <w:color w:val="0B1428"/>
                <w:sz w:val="16"/>
              </w:rPr>
              <w:t>Implementation and operating model</w:t>
            </w:r>
          </w:p>
        </w:tc>
        <w:tc>
          <w:tcPr>
            <w:tcW w:type="dxa" w:w="8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15%</w:t>
            </w:r>
          </w:p>
        </w:tc>
        <w:tc>
          <w:tcPr>
            <w:tcW w:type="dxa" w:w="10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10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341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r>
      <w:tr>
        <w:tc>
          <w:tcPr>
            <w:tcW w:type="dxa" w:w="3000"/>
            <w:tcMar>
              <w:top w:w="100" w:type="dxa"/>
              <w:start w:w="120" w:type="dxa"/>
              <w:bottom w:w="100" w:type="dxa"/>
              <w:end w:w="120" w:type="dxa"/>
            </w:tcMar>
            <w:vAlign w:val="center"/>
          </w:tcPr>
          <w:p>
            <w:pPr>
              <w:keepNext w:val="0"/>
              <w:spacing w:before="0" w:after="0" w:line="259" w:lineRule="auto"/>
            </w:pPr>
            <w:r>
              <w:rPr>
                <w:rFonts w:ascii="Arial" w:hAnsi="Arial"/>
                <w:b/>
                <w:color w:val="0B1428"/>
                <w:sz w:val="16"/>
              </w:rPr>
              <w:t>Evidence and referenceability</w:t>
            </w:r>
          </w:p>
        </w:tc>
        <w:tc>
          <w:tcPr>
            <w:tcW w:type="dxa" w:w="8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10%</w:t>
            </w:r>
          </w:p>
        </w:tc>
        <w:tc>
          <w:tcPr>
            <w:tcW w:type="dxa" w:w="10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10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341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r>
      <w:tr>
        <w:tc>
          <w:tcPr>
            <w:tcW w:type="dxa" w:w="3000"/>
            <w:tcMar>
              <w:top w:w="100" w:type="dxa"/>
              <w:start w:w="120" w:type="dxa"/>
              <w:bottom w:w="100" w:type="dxa"/>
              <w:end w:w="120" w:type="dxa"/>
            </w:tcMar>
            <w:vAlign w:val="center"/>
          </w:tcPr>
          <w:p>
            <w:pPr>
              <w:keepNext w:val="0"/>
              <w:spacing w:before="0" w:after="0" w:line="259" w:lineRule="auto"/>
            </w:pPr>
            <w:r>
              <w:rPr>
                <w:rFonts w:ascii="Arial" w:hAnsi="Arial"/>
                <w:b/>
                <w:color w:val="0B1428"/>
                <w:sz w:val="16"/>
              </w:rPr>
              <w:t>Commercial and whole-of-life value</w:t>
            </w:r>
          </w:p>
        </w:tc>
        <w:tc>
          <w:tcPr>
            <w:tcW w:type="dxa" w:w="8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20%</w:t>
            </w:r>
          </w:p>
        </w:tc>
        <w:tc>
          <w:tcPr>
            <w:tcW w:type="dxa" w:w="10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10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341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r>
      <w:tr>
        <w:tc>
          <w:tcPr>
            <w:tcW w:type="dxa" w:w="3000"/>
            <w:tcMar>
              <w:top w:w="100" w:type="dxa"/>
              <w:start w:w="120" w:type="dxa"/>
              <w:bottom w:w="100" w:type="dxa"/>
              <w:end w:w="120" w:type="dxa"/>
            </w:tcMar>
            <w:vAlign w:val="center"/>
          </w:tcPr>
          <w:p>
            <w:pPr>
              <w:keepNext w:val="0"/>
              <w:spacing w:before="0" w:after="0" w:line="259" w:lineRule="auto"/>
            </w:pPr>
            <w:r>
              <w:rPr>
                <w:rFonts w:ascii="Arial" w:hAnsi="Arial"/>
                <w:b/>
                <w:color w:val="0B1428"/>
                <w:sz w:val="16"/>
              </w:rPr>
              <w:t>Provider viability and strategic fit</w:t>
            </w:r>
          </w:p>
        </w:tc>
        <w:tc>
          <w:tcPr>
            <w:tcW w:type="dxa" w:w="8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10%</w:t>
            </w:r>
          </w:p>
        </w:tc>
        <w:tc>
          <w:tcPr>
            <w:tcW w:type="dxa" w:w="10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10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341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r>
      <w:tr>
        <w:tc>
          <w:tcPr>
            <w:tcW w:type="dxa" w:w="3000"/>
            <w:tcMar>
              <w:top w:w="100" w:type="dxa"/>
              <w:start w:w="120" w:type="dxa"/>
              <w:bottom w:w="100" w:type="dxa"/>
              <w:end w:w="120" w:type="dxa"/>
            </w:tcMar>
            <w:vAlign w:val="center"/>
          </w:tcPr>
          <w:p>
            <w:pPr>
              <w:keepNext w:val="0"/>
              <w:spacing w:before="0" w:after="0" w:line="259" w:lineRule="auto"/>
            </w:pPr>
            <w:r>
              <w:rPr>
                <w:rFonts w:ascii="Arial" w:hAnsi="Arial"/>
                <w:b/>
                <w:color w:val="0B1428"/>
                <w:sz w:val="16"/>
              </w:rPr>
              <w:t>TOTAL</w:t>
            </w:r>
          </w:p>
        </w:tc>
        <w:tc>
          <w:tcPr>
            <w:tcW w:type="dxa" w:w="8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100%</w:t>
            </w:r>
          </w:p>
        </w:tc>
        <w:tc>
          <w:tcPr>
            <w:tcW w:type="dxa" w:w="10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10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341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r>
    </w:tbl>
    <w:p>
      <w:pPr>
        <w:spacing w:after="20"/>
      </w:pPr>
    </w:p>
    <w:p>
      <w:r>
        <w:br w:type="page"/>
      </w:r>
    </w:p>
    <w:p>
      <w:pPr>
        <w:pStyle w:val="Heading1"/>
        <w:keepNext/>
      </w:pPr>
      <w:r>
        <w:t>5.1 Moderation and decision controls</w:t>
      </w:r>
    </w:p>
    <w:p>
      <w:pPr>
        <w:pStyle w:val="Heading2"/>
        <w:keepNext/>
      </w:pPr>
      <w:r>
        <w:t>Individual scoring</w:t>
      </w:r>
    </w:p>
    <w:p>
      <w:pPr>
        <w:pStyle w:val="ListBullet"/>
        <w:keepNext w:val="0"/>
        <w:spacing w:before="0" w:after="80" w:line="288" w:lineRule="auto"/>
      </w:pPr>
      <w:r>
        <w:rPr>
          <w:rFonts w:ascii="Arial" w:hAnsi="Arial"/>
          <w:color w:val="0B1428"/>
          <w:sz w:val="20"/>
        </w:rPr>
        <w:t>Each evaluator scores only the criteria assigned to their expertise.</w:t>
      </w:r>
    </w:p>
    <w:p>
      <w:pPr>
        <w:pStyle w:val="ListBullet"/>
        <w:keepNext w:val="0"/>
        <w:spacing w:before="0" w:after="80" w:line="288" w:lineRule="auto"/>
      </w:pPr>
      <w:r>
        <w:rPr>
          <w:rFonts w:ascii="Arial" w:hAnsi="Arial"/>
          <w:color w:val="0B1428"/>
          <w:sz w:val="20"/>
        </w:rPr>
        <w:t>Scores are recorded before the moderation meeting.</w:t>
      </w:r>
    </w:p>
    <w:p>
      <w:pPr>
        <w:pStyle w:val="ListBullet"/>
        <w:keepNext w:val="0"/>
        <w:spacing w:before="0" w:after="80" w:line="288" w:lineRule="auto"/>
      </w:pPr>
      <w:r>
        <w:rPr>
          <w:rFonts w:ascii="Arial" w:hAnsi="Arial"/>
          <w:color w:val="0B1428"/>
          <w:sz w:val="20"/>
        </w:rPr>
        <w:t>Every score includes a short evidence-based rationale and a source reference.</w:t>
      </w:r>
    </w:p>
    <w:p>
      <w:pPr>
        <w:pStyle w:val="ListBullet"/>
        <w:keepNext w:val="0"/>
        <w:spacing w:before="0" w:after="80" w:line="288" w:lineRule="auto"/>
      </w:pPr>
      <w:r>
        <w:rPr>
          <w:rFonts w:ascii="Arial" w:hAnsi="Arial"/>
          <w:color w:val="0B1428"/>
          <w:sz w:val="20"/>
        </w:rPr>
        <w:t>Material uncertainty is recorded as a question, assumption or risk - not silently resolved in the provider's favour.</w:t>
      </w:r>
    </w:p>
    <w:p>
      <w:pPr>
        <w:pStyle w:val="Heading2"/>
        <w:keepNext/>
      </w:pPr>
      <w:r>
        <w:t>Moderation</w:t>
      </w:r>
    </w:p>
    <w:p>
      <w:pPr>
        <w:pStyle w:val="ListBullet"/>
        <w:keepNext w:val="0"/>
        <w:spacing w:before="0" w:after="80" w:line="288" w:lineRule="auto"/>
      </w:pPr>
      <w:r>
        <w:rPr>
          <w:rFonts w:ascii="Arial" w:hAnsi="Arial"/>
          <w:color w:val="0B1428"/>
          <w:sz w:val="20"/>
        </w:rPr>
        <w:t>Discuss the evidence and scoring anchor, not the arithmetic average.</w:t>
      </w:r>
    </w:p>
    <w:p>
      <w:pPr>
        <w:pStyle w:val="ListBullet"/>
        <w:keepNext w:val="0"/>
        <w:spacing w:before="0" w:after="80" w:line="288" w:lineRule="auto"/>
      </w:pPr>
      <w:r>
        <w:rPr>
          <w:rFonts w:ascii="Arial" w:hAnsi="Arial"/>
          <w:color w:val="0B1428"/>
          <w:sz w:val="20"/>
        </w:rPr>
        <w:t>Record why a moderated score differs from an evaluator's original score.</w:t>
      </w:r>
    </w:p>
    <w:p>
      <w:pPr>
        <w:pStyle w:val="ListBullet"/>
        <w:keepNext w:val="0"/>
        <w:spacing w:before="0" w:after="80" w:line="288" w:lineRule="auto"/>
      </w:pPr>
      <w:r>
        <w:rPr>
          <w:rFonts w:ascii="Arial" w:hAnsi="Arial"/>
          <w:color w:val="0B1428"/>
          <w:sz w:val="20"/>
        </w:rPr>
        <w:t>Do not change weights after seeing which provider benefits.</w:t>
      </w:r>
    </w:p>
    <w:p>
      <w:pPr>
        <w:pStyle w:val="ListBullet"/>
        <w:keepNext w:val="0"/>
        <w:spacing w:before="0" w:after="80" w:line="288" w:lineRule="auto"/>
      </w:pPr>
      <w:r>
        <w:rPr>
          <w:rFonts w:ascii="Arial" w:hAnsi="Arial"/>
          <w:color w:val="0B1428"/>
          <w:sz w:val="20"/>
        </w:rPr>
        <w:t>Record Must exceptions separately, with an owner, risk acceptance and contractual treatment.</w:t>
      </w:r>
    </w:p>
    <w:p>
      <w:pPr>
        <w:pStyle w:val="Heading2"/>
        <w:keepNext/>
      </w:pPr>
      <w:r>
        <w:t>Clarification log</w:t>
      </w:r>
    </w:p>
    <w:tbl>
      <w:tblPr>
        <w:tblStyle w:val="TableGrid"/>
        <w:tblW w:type="dxa" w:w="9360"/>
        <w:jc w:val="left"/>
        <w:tblLayout w:type="fixed"/>
        <w:tblLook w:firstColumn="1" w:firstRow="1" w:lastColumn="0" w:lastRow="0" w:noHBand="0" w:noVBand="1" w:val="04A0"/>
        <w:tblInd w:w="120" w:type="dxa"/>
      </w:tblPr>
      <w:tblGrid>
        <w:gridCol w:w="750"/>
        <w:gridCol w:w="1250"/>
        <w:gridCol w:w="2300"/>
        <w:gridCol w:w="2300"/>
        <w:gridCol w:w="1460"/>
        <w:gridCol w:w="1300"/>
      </w:tblGrid>
      <w:tr>
        <w:trPr>
          <w:tblHeader w:val="true"/>
        </w:trPr>
        <w:tc>
          <w:tcPr>
            <w:tcW w:type="dxa" w:w="75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Ref</w:t>
            </w:r>
          </w:p>
        </w:tc>
        <w:tc>
          <w:tcPr>
            <w:tcW w:type="dxa" w:w="125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Provider</w:t>
            </w:r>
          </w:p>
        </w:tc>
        <w:tc>
          <w:tcPr>
            <w:tcW w:type="dxa" w:w="230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Question</w:t>
            </w:r>
          </w:p>
        </w:tc>
        <w:tc>
          <w:tcPr>
            <w:tcW w:type="dxa" w:w="230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Response</w:t>
            </w:r>
          </w:p>
        </w:tc>
        <w:tc>
          <w:tcPr>
            <w:tcW w:type="dxa" w:w="146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Decision impact</w:t>
            </w:r>
          </w:p>
        </w:tc>
        <w:tc>
          <w:tcPr>
            <w:tcW w:type="dxa" w:w="130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Closed by/date</w:t>
            </w:r>
          </w:p>
        </w:tc>
      </w:tr>
      <w:tr>
        <w:tc>
          <w:tcPr>
            <w:tcW w:type="dxa" w:w="7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t>CL-01</w:t>
            </w:r>
          </w:p>
        </w:tc>
        <w:tc>
          <w:tcPr>
            <w:tcW w:type="dxa" w:w="12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23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23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14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13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r>
      <w:tr>
        <w:tc>
          <w:tcPr>
            <w:tcW w:type="dxa" w:w="7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t>CL-02</w:t>
            </w:r>
          </w:p>
        </w:tc>
        <w:tc>
          <w:tcPr>
            <w:tcW w:type="dxa" w:w="12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23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23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14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13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r>
      <w:tr>
        <w:tc>
          <w:tcPr>
            <w:tcW w:type="dxa" w:w="7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t>CL-03</w:t>
            </w:r>
          </w:p>
        </w:tc>
        <w:tc>
          <w:tcPr>
            <w:tcW w:type="dxa" w:w="12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23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23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14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13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r>
      <w:tr>
        <w:tc>
          <w:tcPr>
            <w:tcW w:type="dxa" w:w="7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t>CL-04</w:t>
            </w:r>
          </w:p>
        </w:tc>
        <w:tc>
          <w:tcPr>
            <w:tcW w:type="dxa" w:w="12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23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23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14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13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r>
    </w:tbl>
    <w:p>
      <w:pPr>
        <w:spacing w:after="20"/>
      </w:pPr>
    </w:p>
    <w:p>
      <w:pPr>
        <w:pStyle w:val="Heading2"/>
        <w:keepNext/>
      </w:pPr>
      <w:r>
        <w:t>Risk and exception log</w:t>
      </w:r>
    </w:p>
    <w:tbl>
      <w:tblPr>
        <w:tblStyle w:val="TableGrid"/>
        <w:tblW w:type="dxa" w:w="9360"/>
        <w:jc w:val="left"/>
        <w:tblLayout w:type="fixed"/>
        <w:tblLook w:firstColumn="1" w:firstRow="1" w:lastColumn="0" w:lastRow="0" w:noHBand="0" w:noVBand="1" w:val="04A0"/>
        <w:tblInd w:w="120" w:type="dxa"/>
      </w:tblPr>
      <w:tblGrid>
        <w:gridCol w:w="650"/>
        <w:gridCol w:w="2400"/>
        <w:gridCol w:w="950"/>
        <w:gridCol w:w="850"/>
        <w:gridCol w:w="2200"/>
        <w:gridCol w:w="1100"/>
        <w:gridCol w:w="1210"/>
      </w:tblGrid>
      <w:tr>
        <w:trPr>
          <w:tblHeader w:val="true"/>
        </w:trPr>
        <w:tc>
          <w:tcPr>
            <w:tcW w:type="dxa" w:w="65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Ref</w:t>
            </w:r>
          </w:p>
        </w:tc>
        <w:tc>
          <w:tcPr>
            <w:tcW w:type="dxa" w:w="240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Gap / risk</w:t>
            </w:r>
          </w:p>
        </w:tc>
        <w:tc>
          <w:tcPr>
            <w:tcW w:type="dxa" w:w="95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Likelihood</w:t>
            </w:r>
          </w:p>
        </w:tc>
        <w:tc>
          <w:tcPr>
            <w:tcW w:type="dxa" w:w="85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Impact</w:t>
            </w:r>
          </w:p>
        </w:tc>
        <w:tc>
          <w:tcPr>
            <w:tcW w:type="dxa" w:w="220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Treatment</w:t>
            </w:r>
          </w:p>
        </w:tc>
        <w:tc>
          <w:tcPr>
            <w:tcW w:type="dxa" w:w="110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Owner</w:t>
            </w:r>
          </w:p>
        </w:tc>
        <w:tc>
          <w:tcPr>
            <w:tcW w:type="dxa" w:w="121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Residual rating</w:t>
            </w:r>
          </w:p>
        </w:tc>
      </w:tr>
      <w:tr>
        <w:tc>
          <w:tcPr>
            <w:tcW w:type="dxa" w:w="6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t>R-01</w:t>
            </w:r>
          </w:p>
        </w:tc>
        <w:tc>
          <w:tcPr>
            <w:tcW w:type="dxa" w:w="24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9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8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22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11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121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r>
      <w:tr>
        <w:tc>
          <w:tcPr>
            <w:tcW w:type="dxa" w:w="6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t>R-02</w:t>
            </w:r>
          </w:p>
        </w:tc>
        <w:tc>
          <w:tcPr>
            <w:tcW w:type="dxa" w:w="24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9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8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22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11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121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r>
      <w:tr>
        <w:tc>
          <w:tcPr>
            <w:tcW w:type="dxa" w:w="6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t>R-03</w:t>
            </w:r>
          </w:p>
        </w:tc>
        <w:tc>
          <w:tcPr>
            <w:tcW w:type="dxa" w:w="24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9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8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22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11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c>
          <w:tcPr>
            <w:tcW w:type="dxa" w:w="121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5"/>
              </w:rPr>
            </w:r>
          </w:p>
        </w:tc>
      </w:tr>
    </w:tbl>
    <w:p>
      <w:pPr>
        <w:spacing w:after="20"/>
      </w:pPr>
    </w:p>
    <w:p>
      <w:r>
        <w:br w:type="page"/>
      </w:r>
    </w:p>
    <w:p>
      <w:pPr>
        <w:pStyle w:val="Heading1"/>
        <w:keepNext/>
      </w:pPr>
      <w:r>
        <w:t>6. Commercial response schedule</w:t>
      </w:r>
    </w:p>
    <w:p>
      <w:pPr>
        <w:keepNext w:val="0"/>
        <w:spacing w:before="0" w:after="120" w:line="283" w:lineRule="auto"/>
        <w:jc w:val="left"/>
      </w:pPr>
      <w:r>
        <w:rPr>
          <w:rFonts w:ascii="Arial" w:hAnsi="Arial"/>
          <w:b w:val="0"/>
          <w:i w:val="0"/>
          <w:color w:val="0B1428"/>
          <w:sz w:val="21"/>
        </w:rPr>
        <w:t>Require one whole-of-life pricing basis. Do not accept a single headline figure if material implementation, consumption, integration, support, data, exit or indexation costs sit outside it.</w:t>
      </w:r>
    </w:p>
    <w:tbl>
      <w:tblPr>
        <w:tblStyle w:val="TableGrid"/>
        <w:tblW w:type="dxa" w:w="9360"/>
        <w:jc w:val="left"/>
        <w:tblLayout w:type="fixed"/>
        <w:tblLook w:firstColumn="1" w:firstRow="1" w:lastColumn="0" w:lastRow="0" w:noHBand="0" w:noVBand="1" w:val="04A0"/>
        <w:tblInd w:w="120" w:type="dxa"/>
      </w:tblPr>
      <w:tblGrid>
        <w:gridCol w:w="2400"/>
        <w:gridCol w:w="1000"/>
        <w:gridCol w:w="1000"/>
        <w:gridCol w:w="1000"/>
        <w:gridCol w:w="1100"/>
        <w:gridCol w:w="2860"/>
      </w:tblGrid>
      <w:tr>
        <w:trPr>
          <w:tblHeader w:val="true"/>
        </w:trPr>
        <w:tc>
          <w:tcPr>
            <w:tcW w:type="dxa" w:w="240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Cost category</w:t>
            </w:r>
          </w:p>
        </w:tc>
        <w:tc>
          <w:tcPr>
            <w:tcW w:type="dxa" w:w="100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Year 1</w:t>
            </w:r>
          </w:p>
        </w:tc>
        <w:tc>
          <w:tcPr>
            <w:tcW w:type="dxa" w:w="100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Year 2</w:t>
            </w:r>
          </w:p>
        </w:tc>
        <w:tc>
          <w:tcPr>
            <w:tcW w:type="dxa" w:w="100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Year 3</w:t>
            </w:r>
          </w:p>
        </w:tc>
        <w:tc>
          <w:tcPr>
            <w:tcW w:type="dxa" w:w="110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One-off</w:t>
            </w:r>
          </w:p>
        </w:tc>
        <w:tc>
          <w:tcPr>
            <w:tcW w:type="dxa" w:w="286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Assumption / unit</w:t>
            </w:r>
          </w:p>
        </w:tc>
      </w:tr>
      <w:tr>
        <w:tc>
          <w:tcPr>
            <w:tcW w:type="dxa" w:w="2400"/>
            <w:tcMar>
              <w:top w:w="100" w:type="dxa"/>
              <w:start w:w="120" w:type="dxa"/>
              <w:bottom w:w="100" w:type="dxa"/>
              <w:end w:w="120" w:type="dxa"/>
            </w:tcMar>
            <w:vAlign w:val="center"/>
          </w:tcPr>
          <w:p>
            <w:pPr>
              <w:keepNext w:val="0"/>
              <w:spacing w:before="0" w:after="0" w:line="259" w:lineRule="auto"/>
            </w:pPr>
            <w:r>
              <w:rPr>
                <w:rFonts w:ascii="Arial" w:hAnsi="Arial"/>
                <w:b/>
                <w:color w:val="0B1428"/>
                <w:sz w:val="16"/>
              </w:rPr>
              <w:t>Subscription / licence</w:t>
            </w:r>
          </w:p>
        </w:tc>
        <w:tc>
          <w:tcPr>
            <w:tcW w:type="dxa" w:w="10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10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10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11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28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r>
      <w:tr>
        <w:tc>
          <w:tcPr>
            <w:tcW w:type="dxa" w:w="2400"/>
            <w:tcMar>
              <w:top w:w="100" w:type="dxa"/>
              <w:start w:w="120" w:type="dxa"/>
              <w:bottom w:w="100" w:type="dxa"/>
              <w:end w:w="120" w:type="dxa"/>
            </w:tcMar>
            <w:vAlign w:val="center"/>
          </w:tcPr>
          <w:p>
            <w:pPr>
              <w:keepNext w:val="0"/>
              <w:spacing w:before="0" w:after="0" w:line="259" w:lineRule="auto"/>
            </w:pPr>
            <w:r>
              <w:rPr>
                <w:rFonts w:ascii="Arial" w:hAnsi="Arial"/>
                <w:b/>
                <w:color w:val="0B1428"/>
                <w:sz w:val="16"/>
              </w:rPr>
              <w:t>Implementation and migration</w:t>
            </w:r>
          </w:p>
        </w:tc>
        <w:tc>
          <w:tcPr>
            <w:tcW w:type="dxa" w:w="10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10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10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11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28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r>
      <w:tr>
        <w:tc>
          <w:tcPr>
            <w:tcW w:type="dxa" w:w="2400"/>
            <w:tcMar>
              <w:top w:w="100" w:type="dxa"/>
              <w:start w:w="120" w:type="dxa"/>
              <w:bottom w:w="100" w:type="dxa"/>
              <w:end w:w="120" w:type="dxa"/>
            </w:tcMar>
            <w:vAlign w:val="center"/>
          </w:tcPr>
          <w:p>
            <w:pPr>
              <w:keepNext w:val="0"/>
              <w:spacing w:before="0" w:after="0" w:line="259" w:lineRule="auto"/>
            </w:pPr>
            <w:r>
              <w:rPr>
                <w:rFonts w:ascii="Arial" w:hAnsi="Arial"/>
                <w:b/>
                <w:color w:val="0B1428"/>
                <w:sz w:val="16"/>
              </w:rPr>
              <w:t>Integration and configuration</w:t>
            </w:r>
          </w:p>
        </w:tc>
        <w:tc>
          <w:tcPr>
            <w:tcW w:type="dxa" w:w="10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10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10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11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28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r>
      <w:tr>
        <w:tc>
          <w:tcPr>
            <w:tcW w:type="dxa" w:w="2400"/>
            <w:tcMar>
              <w:top w:w="100" w:type="dxa"/>
              <w:start w:w="120" w:type="dxa"/>
              <w:bottom w:w="100" w:type="dxa"/>
              <w:end w:w="120" w:type="dxa"/>
            </w:tcMar>
            <w:vAlign w:val="center"/>
          </w:tcPr>
          <w:p>
            <w:pPr>
              <w:keepNext w:val="0"/>
              <w:spacing w:before="0" w:after="0" w:line="259" w:lineRule="auto"/>
            </w:pPr>
            <w:r>
              <w:rPr>
                <w:rFonts w:ascii="Arial" w:hAnsi="Arial"/>
                <w:b/>
                <w:color w:val="0B1428"/>
                <w:sz w:val="16"/>
              </w:rPr>
              <w:t>Data ingestion, storage or egress</w:t>
            </w:r>
          </w:p>
        </w:tc>
        <w:tc>
          <w:tcPr>
            <w:tcW w:type="dxa" w:w="10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10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10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11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28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r>
      <w:tr>
        <w:tc>
          <w:tcPr>
            <w:tcW w:type="dxa" w:w="2400"/>
            <w:tcMar>
              <w:top w:w="100" w:type="dxa"/>
              <w:start w:w="120" w:type="dxa"/>
              <w:bottom w:w="100" w:type="dxa"/>
              <w:end w:w="120" w:type="dxa"/>
            </w:tcMar>
            <w:vAlign w:val="center"/>
          </w:tcPr>
          <w:p>
            <w:pPr>
              <w:keepNext w:val="0"/>
              <w:spacing w:before="0" w:after="0" w:line="259" w:lineRule="auto"/>
            </w:pPr>
            <w:r>
              <w:rPr>
                <w:rFonts w:ascii="Arial" w:hAnsi="Arial"/>
                <w:b/>
                <w:color w:val="0B1428"/>
                <w:sz w:val="16"/>
              </w:rPr>
              <w:t>Managed service / support</w:t>
            </w:r>
          </w:p>
        </w:tc>
        <w:tc>
          <w:tcPr>
            <w:tcW w:type="dxa" w:w="10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10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10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11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28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r>
      <w:tr>
        <w:tc>
          <w:tcPr>
            <w:tcW w:type="dxa" w:w="2400"/>
            <w:tcMar>
              <w:top w:w="100" w:type="dxa"/>
              <w:start w:w="120" w:type="dxa"/>
              <w:bottom w:w="100" w:type="dxa"/>
              <w:end w:w="120" w:type="dxa"/>
            </w:tcMar>
            <w:vAlign w:val="center"/>
          </w:tcPr>
          <w:p>
            <w:pPr>
              <w:keepNext w:val="0"/>
              <w:spacing w:before="0" w:after="0" w:line="259" w:lineRule="auto"/>
            </w:pPr>
            <w:r>
              <w:rPr>
                <w:rFonts w:ascii="Arial" w:hAnsi="Arial"/>
                <w:b/>
                <w:color w:val="0B1428"/>
                <w:sz w:val="16"/>
              </w:rPr>
              <w:t>Training and change</w:t>
            </w:r>
          </w:p>
        </w:tc>
        <w:tc>
          <w:tcPr>
            <w:tcW w:type="dxa" w:w="10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10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10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11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28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r>
      <w:tr>
        <w:tc>
          <w:tcPr>
            <w:tcW w:type="dxa" w:w="2400"/>
            <w:tcMar>
              <w:top w:w="100" w:type="dxa"/>
              <w:start w:w="120" w:type="dxa"/>
              <w:bottom w:w="100" w:type="dxa"/>
              <w:end w:w="120" w:type="dxa"/>
            </w:tcMar>
            <w:vAlign w:val="center"/>
          </w:tcPr>
          <w:p>
            <w:pPr>
              <w:keepNext w:val="0"/>
              <w:spacing w:before="0" w:after="0" w:line="259" w:lineRule="auto"/>
            </w:pPr>
            <w:r>
              <w:rPr>
                <w:rFonts w:ascii="Arial" w:hAnsi="Arial"/>
                <w:b/>
                <w:color w:val="0B1428"/>
                <w:sz w:val="16"/>
              </w:rPr>
              <w:t>Required third-party products</w:t>
            </w:r>
          </w:p>
        </w:tc>
        <w:tc>
          <w:tcPr>
            <w:tcW w:type="dxa" w:w="10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10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10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11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28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r>
      <w:tr>
        <w:tc>
          <w:tcPr>
            <w:tcW w:type="dxa" w:w="2400"/>
            <w:tcMar>
              <w:top w:w="100" w:type="dxa"/>
              <w:start w:w="120" w:type="dxa"/>
              <w:bottom w:w="100" w:type="dxa"/>
              <w:end w:w="120" w:type="dxa"/>
            </w:tcMar>
            <w:vAlign w:val="center"/>
          </w:tcPr>
          <w:p>
            <w:pPr>
              <w:keepNext w:val="0"/>
              <w:spacing w:before="0" w:after="0" w:line="259" w:lineRule="auto"/>
            </w:pPr>
            <w:r>
              <w:rPr>
                <w:rFonts w:ascii="Arial" w:hAnsi="Arial"/>
                <w:b/>
                <w:color w:val="0B1428"/>
                <w:sz w:val="16"/>
              </w:rPr>
              <w:t>Exit, extraction and transition</w:t>
            </w:r>
          </w:p>
        </w:tc>
        <w:tc>
          <w:tcPr>
            <w:tcW w:type="dxa" w:w="10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10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10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11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28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r>
      <w:tr>
        <w:tc>
          <w:tcPr>
            <w:tcW w:type="dxa" w:w="2400"/>
            <w:tcMar>
              <w:top w:w="100" w:type="dxa"/>
              <w:start w:w="120" w:type="dxa"/>
              <w:bottom w:w="100" w:type="dxa"/>
              <w:end w:w="120" w:type="dxa"/>
            </w:tcMar>
            <w:vAlign w:val="center"/>
          </w:tcPr>
          <w:p>
            <w:pPr>
              <w:keepNext w:val="0"/>
              <w:spacing w:before="0" w:after="0" w:line="259" w:lineRule="auto"/>
            </w:pPr>
            <w:r>
              <w:rPr>
                <w:rFonts w:ascii="Arial" w:hAnsi="Arial"/>
                <w:b/>
                <w:color w:val="0B1428"/>
                <w:sz w:val="16"/>
              </w:rPr>
              <w:t>TOTAL excluding GST</w:t>
            </w:r>
          </w:p>
        </w:tc>
        <w:tc>
          <w:tcPr>
            <w:tcW w:type="dxa" w:w="10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10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10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11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28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r>
    </w:tbl>
    <w:p>
      <w:pPr>
        <w:spacing w:after="20"/>
      </w:pPr>
    </w:p>
    <w:p>
      <w:pPr>
        <w:pStyle w:val="Heading2"/>
        <w:keepNext/>
      </w:pPr>
      <w:r>
        <w:t>Commercial declarations</w:t>
      </w:r>
    </w:p>
    <w:p>
      <w:pPr>
        <w:pStyle w:val="ListBullet"/>
        <w:keepNext w:val="0"/>
        <w:spacing w:before="0" w:after="80" w:line="288" w:lineRule="auto"/>
      </w:pPr>
      <w:r>
        <w:rPr>
          <w:rFonts w:ascii="Arial" w:hAnsi="Arial"/>
          <w:color w:val="0B1428"/>
          <w:sz w:val="20"/>
        </w:rPr>
        <w:t>[Provider to state] Pricing currency, GST treatment and validity period</w:t>
      </w:r>
    </w:p>
    <w:p>
      <w:pPr>
        <w:pStyle w:val="ListBullet"/>
        <w:keepNext w:val="0"/>
        <w:spacing w:before="0" w:after="80" w:line="288" w:lineRule="auto"/>
      </w:pPr>
      <w:r>
        <w:rPr>
          <w:rFonts w:ascii="Arial" w:hAnsi="Arial"/>
          <w:color w:val="0B1428"/>
          <w:sz w:val="20"/>
        </w:rPr>
        <w:t>[Provider to state] Minimum commitments, volume bands and overage rates</w:t>
      </w:r>
    </w:p>
    <w:p>
      <w:pPr>
        <w:pStyle w:val="ListBullet"/>
        <w:keepNext w:val="0"/>
        <w:spacing w:before="0" w:after="80" w:line="288" w:lineRule="auto"/>
      </w:pPr>
      <w:r>
        <w:rPr>
          <w:rFonts w:ascii="Arial" w:hAnsi="Arial"/>
          <w:color w:val="0B1428"/>
          <w:sz w:val="20"/>
        </w:rPr>
        <w:t>[Provider to state] Indexation basis, timing and cap</w:t>
      </w:r>
    </w:p>
    <w:p>
      <w:pPr>
        <w:pStyle w:val="ListBullet"/>
        <w:keepNext w:val="0"/>
        <w:spacing w:before="0" w:after="80" w:line="288" w:lineRule="auto"/>
      </w:pPr>
      <w:r>
        <w:rPr>
          <w:rFonts w:ascii="Arial" w:hAnsi="Arial"/>
          <w:color w:val="0B1428"/>
          <w:sz w:val="20"/>
        </w:rPr>
        <w:t>[Provider to state] Included and excluded environments, users, data and service hours</w:t>
      </w:r>
    </w:p>
    <w:p>
      <w:pPr>
        <w:pStyle w:val="ListBullet"/>
        <w:keepNext w:val="0"/>
        <w:spacing w:before="0" w:after="80" w:line="288" w:lineRule="auto"/>
      </w:pPr>
      <w:r>
        <w:rPr>
          <w:rFonts w:ascii="Arial" w:hAnsi="Arial"/>
          <w:color w:val="0B1428"/>
          <w:sz w:val="20"/>
        </w:rPr>
        <w:t>[Provider to state] Payment milestones and acceptance dependencies</w:t>
      </w:r>
    </w:p>
    <w:p>
      <w:pPr>
        <w:pStyle w:val="ListBullet"/>
        <w:keepNext w:val="0"/>
        <w:spacing w:before="0" w:after="80" w:line="288" w:lineRule="auto"/>
      </w:pPr>
      <w:r>
        <w:rPr>
          <w:rFonts w:ascii="Arial" w:hAnsi="Arial"/>
          <w:color w:val="0B1428"/>
          <w:sz w:val="20"/>
        </w:rPr>
        <w:t>[Provider to state] Renewal, termination, data return and transition charges</w:t>
      </w:r>
    </w:p>
    <w:p>
      <w:pPr>
        <w:pStyle w:val="ListBullet"/>
        <w:keepNext w:val="0"/>
        <w:spacing w:before="0" w:after="80" w:line="288" w:lineRule="auto"/>
      </w:pPr>
      <w:r>
        <w:rPr>
          <w:rFonts w:ascii="Arial" w:hAnsi="Arial"/>
          <w:color w:val="0B1428"/>
          <w:sz w:val="20"/>
        </w:rPr>
        <w:t>[Provider to state] Third-party pass-through costs and foreign-exchange exposure</w:t>
      </w:r>
    </w:p>
    <w:p>
      <w:pPr>
        <w:pStyle w:val="ListBullet"/>
        <w:keepNext w:val="0"/>
        <w:spacing w:before="0" w:after="80" w:line="288" w:lineRule="auto"/>
      </w:pPr>
      <w:r>
        <w:rPr>
          <w:rFonts w:ascii="Arial" w:hAnsi="Arial"/>
          <w:color w:val="0B1428"/>
          <w:sz w:val="20"/>
        </w:rPr>
        <w:t>[Provider to state] Assumptions that would trigger a change request or repricing</w:t>
      </w:r>
    </w:p>
    <w:p>
      <w:r>
        <w:br w:type="page"/>
      </w:r>
    </w:p>
    <w:p>
      <w:pPr>
        <w:pStyle w:val="Heading1"/>
        <w:keepNext/>
      </w:pPr>
      <w:r>
        <w:t>6.1 Vendor due diligence question bank</w:t>
      </w:r>
    </w:p>
    <w:p>
      <w:pPr>
        <w:keepNext w:val="0"/>
        <w:spacing w:before="0" w:after="120" w:line="283" w:lineRule="auto"/>
        <w:jc w:val="left"/>
      </w:pPr>
      <w:r>
        <w:rPr>
          <w:rFonts w:ascii="Arial" w:hAnsi="Arial"/>
          <w:b w:val="0"/>
          <w:i w:val="0"/>
          <w:color w:val="0B1428"/>
          <w:sz w:val="21"/>
        </w:rPr>
        <w:t>Select the questions that are proportionate to the risk. Require an answer, evidence reference, exception and owner for any remediation commitment.</w:t>
      </w:r>
    </w:p>
    <w:p>
      <w:pPr>
        <w:pStyle w:val="Heading2"/>
        <w:keepNext/>
      </w:pPr>
      <w:r>
        <w:t>Corporate, financial and supply-chain</w:t>
      </w:r>
    </w:p>
    <w:p>
      <w:pPr>
        <w:pStyle w:val="ListBullet"/>
        <w:keepNext w:val="0"/>
        <w:spacing w:before="0" w:after="80" w:line="288" w:lineRule="auto"/>
      </w:pPr>
      <w:r>
        <w:rPr>
          <w:rFonts w:ascii="Arial" w:hAnsi="Arial"/>
          <w:color w:val="0B1428"/>
          <w:sz w:val="20"/>
        </w:rPr>
        <w:t>Identify the contracting entity, ownership structure, material subcontractors and service locations.</w:t>
      </w:r>
    </w:p>
    <w:p>
      <w:pPr>
        <w:pStyle w:val="ListBullet"/>
        <w:keepNext w:val="0"/>
        <w:spacing w:before="0" w:after="80" w:line="288" w:lineRule="auto"/>
      </w:pPr>
      <w:r>
        <w:rPr>
          <w:rFonts w:ascii="Arial" w:hAnsi="Arial"/>
          <w:color w:val="0B1428"/>
          <w:sz w:val="20"/>
        </w:rPr>
        <w:t>Provide evidence of financial capacity proportionate to the contract term and implementation dependency.</w:t>
      </w:r>
    </w:p>
    <w:p>
      <w:pPr>
        <w:pStyle w:val="ListBullet"/>
        <w:keepNext w:val="0"/>
        <w:spacing w:before="0" w:after="80" w:line="288" w:lineRule="auto"/>
      </w:pPr>
      <w:r>
        <w:rPr>
          <w:rFonts w:ascii="Arial" w:hAnsi="Arial"/>
          <w:color w:val="0B1428"/>
          <w:sz w:val="20"/>
        </w:rPr>
        <w:t>Disclose material litigation, regulatory action, insolvency events or control changes relevant to delivery.</w:t>
      </w:r>
    </w:p>
    <w:p>
      <w:pPr>
        <w:pStyle w:val="ListBullet"/>
        <w:keepNext w:val="0"/>
        <w:spacing w:before="0" w:after="80" w:line="288" w:lineRule="auto"/>
      </w:pPr>
      <w:r>
        <w:rPr>
          <w:rFonts w:ascii="Arial" w:hAnsi="Arial"/>
          <w:color w:val="0B1428"/>
          <w:sz w:val="20"/>
        </w:rPr>
        <w:t>Describe subcontractor selection, assurance, concentration risk and notification controls.</w:t>
      </w:r>
    </w:p>
    <w:p>
      <w:pPr>
        <w:pStyle w:val="ListBullet"/>
        <w:keepNext w:val="0"/>
        <w:spacing w:before="0" w:after="80" w:line="288" w:lineRule="auto"/>
      </w:pPr>
      <w:r>
        <w:rPr>
          <w:rFonts w:ascii="Arial" w:hAnsi="Arial"/>
          <w:color w:val="0B1428"/>
          <w:sz w:val="20"/>
        </w:rPr>
        <w:t>Provide certificates of currency for required insurance and state material exclusions.</w:t>
      </w:r>
    </w:p>
    <w:p>
      <w:pPr>
        <w:pStyle w:val="Heading2"/>
        <w:keepNext/>
      </w:pPr>
      <w:r>
        <w:t>Security, privacy and resilience</w:t>
      </w:r>
    </w:p>
    <w:p>
      <w:pPr>
        <w:pStyle w:val="ListBullet"/>
        <w:keepNext w:val="0"/>
        <w:spacing w:before="0" w:after="80" w:line="288" w:lineRule="auto"/>
      </w:pPr>
      <w:r>
        <w:rPr>
          <w:rFonts w:ascii="Arial" w:hAnsi="Arial"/>
          <w:color w:val="0B1428"/>
          <w:sz w:val="20"/>
        </w:rPr>
        <w:t>Describe the security governance model, independent assurance and remediation of findings.</w:t>
      </w:r>
    </w:p>
    <w:p>
      <w:pPr>
        <w:pStyle w:val="ListBullet"/>
        <w:keepNext w:val="0"/>
        <w:spacing w:before="0" w:after="80" w:line="288" w:lineRule="auto"/>
      </w:pPr>
      <w:r>
        <w:rPr>
          <w:rFonts w:ascii="Arial" w:hAnsi="Arial"/>
          <w:color w:val="0B1428"/>
          <w:sz w:val="20"/>
        </w:rPr>
        <w:t>State data locations, cross-border disclosures, subprocessors and change-notification process.</w:t>
      </w:r>
    </w:p>
    <w:p>
      <w:pPr>
        <w:pStyle w:val="ListBullet"/>
        <w:keepNext w:val="0"/>
        <w:spacing w:before="0" w:after="80" w:line="288" w:lineRule="auto"/>
      </w:pPr>
      <w:r>
        <w:rPr>
          <w:rFonts w:ascii="Arial" w:hAnsi="Arial"/>
          <w:color w:val="0B1428"/>
          <w:sz w:val="20"/>
        </w:rPr>
        <w:t>Explain identity, privileged access, encryption, logging, vulnerability and secure-development controls.</w:t>
      </w:r>
    </w:p>
    <w:p>
      <w:pPr>
        <w:pStyle w:val="ListBullet"/>
        <w:keepNext w:val="0"/>
        <w:spacing w:before="0" w:after="80" w:line="288" w:lineRule="auto"/>
      </w:pPr>
      <w:r>
        <w:rPr>
          <w:rFonts w:ascii="Arial" w:hAnsi="Arial"/>
          <w:color w:val="0B1428"/>
          <w:sz w:val="20"/>
        </w:rPr>
        <w:t>State incident notification commitments, cooperation model and access to evidence.</w:t>
      </w:r>
    </w:p>
    <w:p>
      <w:pPr>
        <w:pStyle w:val="ListBullet"/>
        <w:keepNext w:val="0"/>
        <w:spacing w:before="0" w:after="80" w:line="288" w:lineRule="auto"/>
      </w:pPr>
      <w:r>
        <w:rPr>
          <w:rFonts w:ascii="Arial" w:hAnsi="Arial"/>
          <w:color w:val="0B1428"/>
          <w:sz w:val="20"/>
        </w:rPr>
        <w:t>Provide recovery objectives, resilience test evidence and service-continuity dependencies.</w:t>
      </w:r>
    </w:p>
    <w:p>
      <w:pPr>
        <w:pStyle w:val="ListBullet"/>
        <w:keepNext w:val="0"/>
        <w:spacing w:before="0" w:after="80" w:line="288" w:lineRule="auto"/>
      </w:pPr>
      <w:r>
        <w:rPr>
          <w:rFonts w:ascii="Arial" w:hAnsi="Arial"/>
          <w:color w:val="0B1428"/>
          <w:sz w:val="20"/>
        </w:rPr>
        <w:t>Describe data extraction, deletion verification and transition support at exit.</w:t>
      </w:r>
    </w:p>
    <w:p>
      <w:pPr>
        <w:pStyle w:val="Heading2"/>
        <w:keepNext/>
      </w:pPr>
      <w:r>
        <w:t>Delivery and service management</w:t>
      </w:r>
    </w:p>
    <w:p>
      <w:pPr>
        <w:pStyle w:val="ListBullet"/>
        <w:keepNext w:val="0"/>
        <w:spacing w:before="0" w:after="80" w:line="288" w:lineRule="auto"/>
      </w:pPr>
      <w:r>
        <w:rPr>
          <w:rFonts w:ascii="Arial" w:hAnsi="Arial"/>
          <w:color w:val="0B1428"/>
          <w:sz w:val="20"/>
        </w:rPr>
        <w:t>Identify named delivery roles, location, capacity assumptions and use of subcontractors.</w:t>
      </w:r>
    </w:p>
    <w:p>
      <w:pPr>
        <w:pStyle w:val="ListBullet"/>
        <w:keepNext w:val="0"/>
        <w:spacing w:before="0" w:after="80" w:line="288" w:lineRule="auto"/>
      </w:pPr>
      <w:r>
        <w:rPr>
          <w:rFonts w:ascii="Arial" w:hAnsi="Arial"/>
          <w:color w:val="0B1428"/>
          <w:sz w:val="20"/>
        </w:rPr>
        <w:t>Provide the implementation plan, critical path, client dependencies and acceptance gates.</w:t>
      </w:r>
    </w:p>
    <w:p>
      <w:pPr>
        <w:pStyle w:val="ListBullet"/>
        <w:keepNext w:val="0"/>
        <w:spacing w:before="0" w:after="80" w:line="288" w:lineRule="auto"/>
      </w:pPr>
      <w:r>
        <w:rPr>
          <w:rFonts w:ascii="Arial" w:hAnsi="Arial"/>
          <w:color w:val="0B1428"/>
          <w:sz w:val="20"/>
        </w:rPr>
        <w:t>Define service levels, exclusions, service credits, escalation and chronic-failure treatment.</w:t>
      </w:r>
    </w:p>
    <w:p>
      <w:pPr>
        <w:pStyle w:val="ListBullet"/>
        <w:keepNext w:val="0"/>
        <w:spacing w:before="0" w:after="80" w:line="288" w:lineRule="auto"/>
      </w:pPr>
      <w:r>
        <w:rPr>
          <w:rFonts w:ascii="Arial" w:hAnsi="Arial"/>
          <w:color w:val="0B1428"/>
          <w:sz w:val="20"/>
        </w:rPr>
        <w:t>Provide two references with comparable scale, complexity and regulated operating context.</w:t>
      </w:r>
    </w:p>
    <w:p>
      <w:r>
        <w:br w:type="page"/>
      </w:r>
    </w:p>
    <w:p>
      <w:pPr>
        <w:pStyle w:val="Heading1"/>
        <w:keepNext/>
      </w:pPr>
      <w:r>
        <w:t>6.2 AI-specific due diligence</w:t>
      </w:r>
    </w:p>
    <w:p>
      <w:pPr>
        <w:keepNext w:val="0"/>
        <w:spacing w:before="0" w:after="120" w:line="283" w:lineRule="auto"/>
        <w:jc w:val="left"/>
      </w:pPr>
      <w:r>
        <w:rPr>
          <w:rFonts w:ascii="Arial" w:hAnsi="Arial"/>
          <w:b w:val="0"/>
          <w:i w:val="0"/>
          <w:color w:val="0B1428"/>
          <w:sz w:val="21"/>
        </w:rPr>
        <w:t>Use this module when the proposed capability trains, fine-tunes, retrieves, classifies, recommends or generates outputs using AI.</w:t>
      </w:r>
    </w:p>
    <w:p>
      <w:pPr>
        <w:pStyle w:val="ListBullet"/>
        <w:keepNext w:val="0"/>
        <w:spacing w:before="0" w:after="80" w:line="288" w:lineRule="auto"/>
      </w:pPr>
      <w:r>
        <w:rPr>
          <w:rFonts w:ascii="Arial" w:hAnsi="Arial"/>
          <w:color w:val="0B1428"/>
          <w:sz w:val="20"/>
        </w:rPr>
        <w:t>Identify all models used, their providers, hosting locations, update mechanisms and material dependencies.</w:t>
      </w:r>
    </w:p>
    <w:p>
      <w:pPr>
        <w:pStyle w:val="ListBullet"/>
        <w:keepNext w:val="0"/>
        <w:spacing w:before="0" w:after="80" w:line="288" w:lineRule="auto"/>
      </w:pPr>
      <w:r>
        <w:rPr>
          <w:rFonts w:ascii="Arial" w:hAnsi="Arial"/>
          <w:color w:val="0B1428"/>
          <w:sz w:val="20"/>
        </w:rPr>
        <w:t>State whether client inputs, outputs, feedback or metadata are used to train or improve any model, and how this is controlled contractually.</w:t>
      </w:r>
    </w:p>
    <w:p>
      <w:pPr>
        <w:pStyle w:val="ListBullet"/>
        <w:keepNext w:val="0"/>
        <w:spacing w:before="0" w:after="80" w:line="288" w:lineRule="auto"/>
      </w:pPr>
      <w:r>
        <w:rPr>
          <w:rFonts w:ascii="Arial" w:hAnsi="Arial"/>
          <w:color w:val="0B1428"/>
          <w:sz w:val="20"/>
        </w:rPr>
        <w:t>Describe provenance, licensing and permitted use of training, fine-tuning and retrieval data where relevant.</w:t>
      </w:r>
    </w:p>
    <w:p>
      <w:pPr>
        <w:pStyle w:val="ListBullet"/>
        <w:keepNext w:val="0"/>
        <w:spacing w:before="0" w:after="80" w:line="288" w:lineRule="auto"/>
      </w:pPr>
      <w:r>
        <w:rPr>
          <w:rFonts w:ascii="Arial" w:hAnsi="Arial"/>
          <w:color w:val="0B1428"/>
          <w:sz w:val="20"/>
        </w:rPr>
        <w:t>Explain testing for accuracy, harmful outputs, bias, security abuse, privacy leakage and task-specific failure modes.</w:t>
      </w:r>
    </w:p>
    <w:p>
      <w:pPr>
        <w:pStyle w:val="ListBullet"/>
        <w:keepNext w:val="0"/>
        <w:spacing w:before="0" w:after="80" w:line="288" w:lineRule="auto"/>
      </w:pPr>
      <w:r>
        <w:rPr>
          <w:rFonts w:ascii="Arial" w:hAnsi="Arial"/>
          <w:color w:val="0B1428"/>
          <w:sz w:val="20"/>
        </w:rPr>
        <w:t>Provide evaluation results for the proposed use case, not only generic model benchmarks.</w:t>
      </w:r>
    </w:p>
    <w:p>
      <w:pPr>
        <w:pStyle w:val="ListBullet"/>
        <w:keepNext w:val="0"/>
        <w:spacing w:before="0" w:after="80" w:line="288" w:lineRule="auto"/>
      </w:pPr>
      <w:r>
        <w:rPr>
          <w:rFonts w:ascii="Arial" w:hAnsi="Arial"/>
          <w:color w:val="0B1428"/>
          <w:sz w:val="20"/>
        </w:rPr>
        <w:t>Describe human review, override, escalation and contestability for consequential outputs.</w:t>
      </w:r>
    </w:p>
    <w:p>
      <w:pPr>
        <w:pStyle w:val="ListBullet"/>
        <w:keepNext w:val="0"/>
        <w:spacing w:before="0" w:after="80" w:line="288" w:lineRule="auto"/>
      </w:pPr>
      <w:r>
        <w:rPr>
          <w:rFonts w:ascii="Arial" w:hAnsi="Arial"/>
          <w:color w:val="0B1428"/>
          <w:sz w:val="20"/>
        </w:rPr>
        <w:t>State how model, prompt, guardrail and data changes are versioned, tested, communicated and reversible.</w:t>
      </w:r>
    </w:p>
    <w:p>
      <w:pPr>
        <w:pStyle w:val="ListBullet"/>
        <w:keepNext w:val="0"/>
        <w:spacing w:before="0" w:after="80" w:line="288" w:lineRule="auto"/>
      </w:pPr>
      <w:r>
        <w:rPr>
          <w:rFonts w:ascii="Arial" w:hAnsi="Arial"/>
          <w:color w:val="0B1428"/>
          <w:sz w:val="20"/>
        </w:rPr>
        <w:t>Describe monitoring for drift, degraded performance, cost volatility, misuse and material incidents.</w:t>
      </w:r>
    </w:p>
    <w:p>
      <w:pPr>
        <w:pStyle w:val="ListBullet"/>
        <w:keepNext w:val="0"/>
        <w:spacing w:before="0" w:after="80" w:line="288" w:lineRule="auto"/>
      </w:pPr>
      <w:r>
        <w:rPr>
          <w:rFonts w:ascii="Arial" w:hAnsi="Arial"/>
          <w:color w:val="0B1428"/>
          <w:sz w:val="20"/>
        </w:rPr>
        <w:t>Explain recordkeeping sufficient to reconstruct a material output and its supporting sources where required.</w:t>
      </w:r>
    </w:p>
    <w:p>
      <w:pPr>
        <w:pStyle w:val="ListBullet"/>
        <w:keepNext w:val="0"/>
        <w:spacing w:before="0" w:after="80" w:line="288" w:lineRule="auto"/>
      </w:pPr>
      <w:r>
        <w:rPr>
          <w:rFonts w:ascii="Arial" w:hAnsi="Arial"/>
          <w:color w:val="0B1428"/>
          <w:sz w:val="20"/>
        </w:rPr>
        <w:t>Provide exit options if a foundation model, hosting region or third-party service becomes unavailable or unacceptable.</w:t>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shd w:fill="EAFBFF"/>
          </w:tcPr>
          <w:p>
            <w:pPr>
              <w:keepNext w:val="0"/>
              <w:spacing w:before="0" w:after="0" w:line="281" w:lineRule="auto"/>
            </w:pPr>
            <w:r>
              <w:rPr>
                <w:rFonts w:ascii="Arial" w:hAnsi="Arial"/>
                <w:b/>
                <w:color w:val="00B8D9"/>
                <w:sz w:val="17"/>
              </w:rPr>
              <w:t xml:space="preserve">AUSTRALIAN CONTEXT  </w:t>
            </w:r>
            <w:r>
              <w:rPr>
                <w:rFonts w:ascii="Arial" w:hAnsi="Arial"/>
                <w:color w:val="0B1428"/>
                <w:sz w:val="20"/>
              </w:rPr>
              <w:t>Map questions and contract treatment to your organisation's privacy obligations, risk appetite and sector requirements. For AI governance, align the operating model to Australia's Guidance for AI Adoption and any applicable regulatory obligations.</w:t>
            </w:r>
          </w:p>
        </w:tc>
      </w:tr>
    </w:tbl>
    <w:p>
      <w:pPr>
        <w:spacing w:after="20"/>
      </w:pPr>
    </w:p>
    <w:p>
      <w:r>
        <w:br w:type="page"/>
      </w:r>
    </w:p>
    <w:p>
      <w:pPr>
        <w:pStyle w:val="Heading1"/>
        <w:keepNext/>
      </w:pPr>
      <w:r>
        <w:t>7. Process, timeline and decision record</w:t>
      </w:r>
    </w:p>
    <w:p>
      <w:pPr>
        <w:pStyle w:val="Heading2"/>
        <w:keepNext/>
      </w:pPr>
      <w:r>
        <w:t>7.1 Indicative procurement timeline</w:t>
      </w:r>
    </w:p>
    <w:tbl>
      <w:tblPr>
        <w:tblStyle w:val="TableGrid"/>
        <w:tblW w:type="dxa" w:w="9360"/>
        <w:jc w:val="left"/>
        <w:tblLayout w:type="fixed"/>
        <w:tblLook w:firstColumn="1" w:firstRow="1" w:lastColumn="0" w:lastRow="0" w:noHBand="0" w:noVBand="1" w:val="04A0"/>
        <w:tblInd w:w="120" w:type="dxa"/>
      </w:tblPr>
      <w:tblGrid>
        <w:gridCol w:w="2600"/>
        <w:gridCol w:w="1500"/>
        <w:gridCol w:w="1600"/>
        <w:gridCol w:w="3660"/>
      </w:tblGrid>
      <w:tr>
        <w:trPr>
          <w:tblHeader w:val="true"/>
        </w:trPr>
        <w:tc>
          <w:tcPr>
            <w:tcW w:type="dxa" w:w="260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Stage</w:t>
            </w:r>
          </w:p>
        </w:tc>
        <w:tc>
          <w:tcPr>
            <w:tcW w:type="dxa" w:w="150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Owner</w:t>
            </w:r>
          </w:p>
        </w:tc>
        <w:tc>
          <w:tcPr>
            <w:tcW w:type="dxa" w:w="160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Target date</w:t>
            </w:r>
          </w:p>
        </w:tc>
        <w:tc>
          <w:tcPr>
            <w:tcW w:type="dxa" w:w="366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Output / gate</w:t>
            </w:r>
          </w:p>
        </w:tc>
      </w:tr>
      <w:tr>
        <w:tc>
          <w:tcPr>
            <w:tcW w:type="dxa" w:w="26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Requirements approval</w:t>
            </w:r>
          </w:p>
        </w:tc>
        <w:tc>
          <w:tcPr>
            <w:tcW w:type="dxa" w:w="15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16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36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Approved scope, MoSCoW register and criteria</w:t>
            </w:r>
          </w:p>
        </w:tc>
      </w:tr>
      <w:tr>
        <w:tc>
          <w:tcPr>
            <w:tcW w:type="dxa" w:w="26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RFP issue</w:t>
            </w:r>
          </w:p>
        </w:tc>
        <w:tc>
          <w:tcPr>
            <w:tcW w:type="dxa" w:w="15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16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36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Controlled release and acknowledgement</w:t>
            </w:r>
          </w:p>
        </w:tc>
      </w:tr>
      <w:tr>
        <w:tc>
          <w:tcPr>
            <w:tcW w:type="dxa" w:w="26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Clarification window</w:t>
            </w:r>
          </w:p>
        </w:tc>
        <w:tc>
          <w:tcPr>
            <w:tcW w:type="dxa" w:w="15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16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36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Shared clarification log</w:t>
            </w:r>
          </w:p>
        </w:tc>
      </w:tr>
      <w:tr>
        <w:tc>
          <w:tcPr>
            <w:tcW w:type="dxa" w:w="26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Response deadline</w:t>
            </w:r>
          </w:p>
        </w:tc>
        <w:tc>
          <w:tcPr>
            <w:tcW w:type="dxa" w:w="15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16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36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Complete responses locked</w:t>
            </w:r>
          </w:p>
        </w:tc>
      </w:tr>
      <w:tr>
        <w:tc>
          <w:tcPr>
            <w:tcW w:type="dxa" w:w="26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Conformance review</w:t>
            </w:r>
          </w:p>
        </w:tc>
        <w:tc>
          <w:tcPr>
            <w:tcW w:type="dxa" w:w="15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16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36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Must gaps and exclusions identified</w:t>
            </w:r>
          </w:p>
        </w:tc>
      </w:tr>
      <w:tr>
        <w:tc>
          <w:tcPr>
            <w:tcW w:type="dxa" w:w="26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Individual evaluation</w:t>
            </w:r>
          </w:p>
        </w:tc>
        <w:tc>
          <w:tcPr>
            <w:tcW w:type="dxa" w:w="15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16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36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Scores and rationales recorded</w:t>
            </w:r>
          </w:p>
        </w:tc>
      </w:tr>
      <w:tr>
        <w:tc>
          <w:tcPr>
            <w:tcW w:type="dxa" w:w="26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Demonstrations / tests</w:t>
            </w:r>
          </w:p>
        </w:tc>
        <w:tc>
          <w:tcPr>
            <w:tcW w:type="dxa" w:w="15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16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36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Scripted evidence captured</w:t>
            </w:r>
          </w:p>
        </w:tc>
      </w:tr>
      <w:tr>
        <w:tc>
          <w:tcPr>
            <w:tcW w:type="dxa" w:w="26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Moderation</w:t>
            </w:r>
          </w:p>
        </w:tc>
        <w:tc>
          <w:tcPr>
            <w:tcW w:type="dxa" w:w="15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16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36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Moderated scores and risk log</w:t>
            </w:r>
          </w:p>
        </w:tc>
      </w:tr>
      <w:tr>
        <w:tc>
          <w:tcPr>
            <w:tcW w:type="dxa" w:w="26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Commercial / contract</w:t>
            </w:r>
          </w:p>
        </w:tc>
        <w:tc>
          <w:tcPr>
            <w:tcW w:type="dxa" w:w="15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16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36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Comparable offer and agreed departures</w:t>
            </w:r>
          </w:p>
        </w:tc>
      </w:tr>
      <w:tr>
        <w:tc>
          <w:tcPr>
            <w:tcW w:type="dxa" w:w="26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Approval and notification</w:t>
            </w:r>
          </w:p>
        </w:tc>
        <w:tc>
          <w:tcPr>
            <w:tcW w:type="dxa" w:w="15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16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r>
          </w:p>
        </w:tc>
        <w:tc>
          <w:tcPr>
            <w:tcW w:type="dxa" w:w="36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Signed decision record and communications</w:t>
            </w:r>
          </w:p>
        </w:tc>
      </w:tr>
    </w:tbl>
    <w:p>
      <w:pPr>
        <w:spacing w:after="20"/>
      </w:pPr>
    </w:p>
    <w:p>
      <w:pPr>
        <w:pStyle w:val="Heading2"/>
        <w:keepNext/>
      </w:pPr>
      <w:r>
        <w:t>7.2 Demonstration and proof-of-value controls</w:t>
      </w:r>
    </w:p>
    <w:p>
      <w:pPr>
        <w:pStyle w:val="ListBullet"/>
        <w:keepNext w:val="0"/>
        <w:spacing w:before="0" w:after="80" w:line="288" w:lineRule="auto"/>
      </w:pPr>
      <w:r>
        <w:rPr>
          <w:rFonts w:ascii="Arial" w:hAnsi="Arial"/>
          <w:color w:val="0B1428"/>
          <w:sz w:val="20"/>
        </w:rPr>
        <w:t>Issue the same scenario, data assumptions and time limit to each provider.</w:t>
      </w:r>
    </w:p>
    <w:p>
      <w:pPr>
        <w:pStyle w:val="ListBullet"/>
        <w:keepNext w:val="0"/>
        <w:spacing w:before="0" w:after="80" w:line="288" w:lineRule="auto"/>
      </w:pPr>
      <w:r>
        <w:rPr>
          <w:rFonts w:ascii="Arial" w:hAnsi="Arial"/>
          <w:color w:val="0B1428"/>
          <w:sz w:val="20"/>
        </w:rPr>
        <w:t>Use client-relevant tasks and exception conditions, not a provider-led product tour.</w:t>
      </w:r>
    </w:p>
    <w:p>
      <w:pPr>
        <w:pStyle w:val="ListBullet"/>
        <w:keepNext w:val="0"/>
        <w:spacing w:before="0" w:after="80" w:line="288" w:lineRule="auto"/>
      </w:pPr>
      <w:r>
        <w:rPr>
          <w:rFonts w:ascii="Arial" w:hAnsi="Arial"/>
          <w:color w:val="0B1428"/>
          <w:sz w:val="20"/>
        </w:rPr>
        <w:t>Record which features are standard, configured, custom, simulated or roadmap.</w:t>
      </w:r>
    </w:p>
    <w:p>
      <w:pPr>
        <w:pStyle w:val="ListBullet"/>
        <w:keepNext w:val="0"/>
        <w:spacing w:before="0" w:after="80" w:line="288" w:lineRule="auto"/>
      </w:pPr>
      <w:r>
        <w:rPr>
          <w:rFonts w:ascii="Arial" w:hAnsi="Arial"/>
          <w:color w:val="0B1428"/>
          <w:sz w:val="20"/>
        </w:rPr>
        <w:t>Score evidence against pre-approved criteria; do not add novelty points during the session.</w:t>
      </w:r>
    </w:p>
    <w:p>
      <w:pPr>
        <w:pStyle w:val="ListBullet"/>
        <w:keepNext w:val="0"/>
        <w:spacing w:before="0" w:after="80" w:line="288" w:lineRule="auto"/>
      </w:pPr>
      <w:r>
        <w:rPr>
          <w:rFonts w:ascii="Arial" w:hAnsi="Arial"/>
          <w:color w:val="0B1428"/>
          <w:sz w:val="20"/>
        </w:rPr>
        <w:t>Capture dependencies, limitations, unanswered questions and commercial implications.</w:t>
      </w:r>
    </w:p>
    <w:p>
      <w:r>
        <w:br w:type="page"/>
      </w:r>
    </w:p>
    <w:p>
      <w:pPr>
        <w:pStyle w:val="Heading1"/>
        <w:keepNext/>
      </w:pPr>
      <w:r>
        <w:t>Worked example A: cybersecurity procurement</w:t>
      </w:r>
    </w:p>
    <w:p>
      <w:pPr>
        <w:keepNext w:val="0"/>
        <w:spacing w:before="0" w:after="120" w:line="283" w:lineRule="auto"/>
        <w:jc w:val="left"/>
      </w:pPr>
      <w:r>
        <w:rPr>
          <w:rFonts w:ascii="Arial" w:hAnsi="Arial"/>
          <w:b w:val="0"/>
          <w:i w:val="0"/>
          <w:color w:val="0B1428"/>
          <w:sz w:val="21"/>
        </w:rPr>
        <w:t>Scenario: an organisation is evaluating a managed detection and response service across a hybrid Microsoft, cloud and operational environment.</w:t>
      </w:r>
    </w:p>
    <w:tbl>
      <w:tblPr>
        <w:tblStyle w:val="TableGrid"/>
        <w:tblW w:type="dxa" w:w="9360"/>
        <w:jc w:val="left"/>
        <w:tblLayout w:type="fixed"/>
        <w:tblLook w:firstColumn="1" w:firstRow="1" w:lastColumn="0" w:lastRow="0" w:noHBand="0" w:noVBand="1" w:val="04A0"/>
        <w:tblInd w:w="120" w:type="dxa"/>
      </w:tblPr>
      <w:tblGrid>
        <w:gridCol w:w="950"/>
        <w:gridCol w:w="3800"/>
        <w:gridCol w:w="2600"/>
        <w:gridCol w:w="2010"/>
      </w:tblGrid>
      <w:tr>
        <w:trPr>
          <w:tblHeader w:val="true"/>
        </w:trPr>
        <w:tc>
          <w:tcPr>
            <w:tcW w:type="dxa" w:w="95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Tier</w:t>
            </w:r>
          </w:p>
        </w:tc>
        <w:tc>
          <w:tcPr>
            <w:tcW w:type="dxa" w:w="380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Example requirement</w:t>
            </w:r>
          </w:p>
        </w:tc>
        <w:tc>
          <w:tcPr>
            <w:tcW w:type="dxa" w:w="260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Evidence request</w:t>
            </w:r>
          </w:p>
        </w:tc>
        <w:tc>
          <w:tcPr>
            <w:tcW w:type="dxa" w:w="201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Evaluation treatment</w:t>
            </w:r>
          </w:p>
        </w:tc>
      </w:tr>
      <w:tr>
        <w:tc>
          <w:tcPr>
            <w:tcW w:type="dxa" w:w="9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Must</w:t>
            </w:r>
          </w:p>
        </w:tc>
        <w:tc>
          <w:tcPr>
            <w:tcW w:type="dxa" w:w="38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Provide 24x7 triage and escalation for agreed severity-one events within the contracted service boundary.</w:t>
            </w:r>
          </w:p>
        </w:tc>
        <w:tc>
          <w:tcPr>
            <w:tcW w:type="dxa" w:w="26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Redacted incident timeline, SLA wording and staffing model</w:t>
            </w:r>
          </w:p>
        </w:tc>
        <w:tc>
          <w:tcPr>
            <w:tcW w:type="dxa" w:w="201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Pass/fail plus risk review</w:t>
            </w:r>
          </w:p>
        </w:tc>
      </w:tr>
      <w:tr>
        <w:tc>
          <w:tcPr>
            <w:tcW w:type="dxa" w:w="9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Must</w:t>
            </w:r>
          </w:p>
        </w:tc>
        <w:tc>
          <w:tcPr>
            <w:tcW w:type="dxa" w:w="38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Support phishing-resistant MFA for all provider privileged access into client systems.</w:t>
            </w:r>
          </w:p>
        </w:tc>
        <w:tc>
          <w:tcPr>
            <w:tcW w:type="dxa" w:w="26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Configuration evidence and access-control procedure</w:t>
            </w:r>
          </w:p>
        </w:tc>
        <w:tc>
          <w:tcPr>
            <w:tcW w:type="dxa" w:w="201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Pass/fail</w:t>
            </w:r>
          </w:p>
        </w:tc>
      </w:tr>
      <w:tr>
        <w:tc>
          <w:tcPr>
            <w:tcW w:type="dxa" w:w="9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Should</w:t>
            </w:r>
          </w:p>
        </w:tc>
        <w:tc>
          <w:tcPr>
            <w:tcW w:type="dxa" w:w="38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Enrich detections with threat intelligence relevant to the organisation's Australian operating context.</w:t>
            </w:r>
          </w:p>
        </w:tc>
        <w:tc>
          <w:tcPr>
            <w:tcW w:type="dxa" w:w="26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Three examples showing source, action and analyst value</w:t>
            </w:r>
          </w:p>
        </w:tc>
        <w:tc>
          <w:tcPr>
            <w:tcW w:type="dxa" w:w="201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Weighted score</w:t>
            </w:r>
          </w:p>
        </w:tc>
      </w:tr>
      <w:tr>
        <w:tc>
          <w:tcPr>
            <w:tcW w:type="dxa" w:w="9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Could</w:t>
            </w:r>
          </w:p>
        </w:tc>
        <w:tc>
          <w:tcPr>
            <w:tcW w:type="dxa" w:w="38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Provide co-managed threat hunting workspaces for the internal security team.</w:t>
            </w:r>
          </w:p>
        </w:tc>
        <w:tc>
          <w:tcPr>
            <w:tcW w:type="dxa" w:w="26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Live demonstration and licence impact</w:t>
            </w:r>
          </w:p>
        </w:tc>
        <w:tc>
          <w:tcPr>
            <w:tcW w:type="dxa" w:w="201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Differentiator</w:t>
            </w:r>
          </w:p>
        </w:tc>
      </w:tr>
      <w:tr>
        <w:tc>
          <w:tcPr>
            <w:tcW w:type="dxa" w:w="9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Won't</w:t>
            </w:r>
          </w:p>
        </w:tc>
        <w:tc>
          <w:tcPr>
            <w:tcW w:type="dxa" w:w="38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Full security operations centre replacement is not in scope.</w:t>
            </w:r>
          </w:p>
        </w:tc>
        <w:tc>
          <w:tcPr>
            <w:tcW w:type="dxa" w:w="26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Acknowledgement and scope boundary</w:t>
            </w:r>
          </w:p>
        </w:tc>
        <w:tc>
          <w:tcPr>
            <w:tcW w:type="dxa" w:w="201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Not scored</w:t>
            </w:r>
          </w:p>
        </w:tc>
      </w:tr>
    </w:tbl>
    <w:p>
      <w:pPr>
        <w:spacing w:after="20"/>
      </w:pPr>
    </w:p>
    <w:p>
      <w:pPr>
        <w:pStyle w:val="Heading2"/>
        <w:keepNext/>
      </w:pPr>
      <w:r>
        <w:t>Questions that expose delivery risk</w:t>
      </w:r>
    </w:p>
    <w:p>
      <w:pPr>
        <w:pStyle w:val="ListBullet"/>
        <w:keepNext w:val="0"/>
        <w:spacing w:before="0" w:after="80" w:line="288" w:lineRule="auto"/>
      </w:pPr>
      <w:r>
        <w:rPr>
          <w:rFonts w:ascii="Arial" w:hAnsi="Arial"/>
          <w:color w:val="0B1428"/>
          <w:sz w:val="20"/>
        </w:rPr>
        <w:t>Which telemetry sources are included in the base fee, and which require additional engineering or ingestion charges?</w:t>
      </w:r>
    </w:p>
    <w:p>
      <w:pPr>
        <w:pStyle w:val="ListBullet"/>
        <w:keepNext w:val="0"/>
        <w:spacing w:before="0" w:after="80" w:line="288" w:lineRule="auto"/>
      </w:pPr>
      <w:r>
        <w:rPr>
          <w:rFonts w:ascii="Arial" w:hAnsi="Arial"/>
          <w:color w:val="0B1428"/>
          <w:sz w:val="20"/>
        </w:rPr>
        <w:t>What actions can analysts take without client approval, and how is authority controlled?</w:t>
      </w:r>
    </w:p>
    <w:p>
      <w:pPr>
        <w:pStyle w:val="ListBullet"/>
        <w:keepNext w:val="0"/>
        <w:spacing w:before="0" w:after="80" w:line="288" w:lineRule="auto"/>
      </w:pPr>
      <w:r>
        <w:rPr>
          <w:rFonts w:ascii="Arial" w:hAnsi="Arial"/>
          <w:color w:val="0B1428"/>
          <w:sz w:val="20"/>
        </w:rPr>
        <w:t>Show the escalation path when the assigned team cannot determine severity within the target time.</w:t>
      </w:r>
    </w:p>
    <w:p>
      <w:pPr>
        <w:pStyle w:val="ListBullet"/>
        <w:keepNext w:val="0"/>
        <w:spacing w:before="0" w:after="80" w:line="288" w:lineRule="auto"/>
      </w:pPr>
      <w:r>
        <w:rPr>
          <w:rFonts w:ascii="Arial" w:hAnsi="Arial"/>
          <w:color w:val="0B1428"/>
          <w:sz w:val="20"/>
        </w:rPr>
        <w:t>Which parts of the service depend on subcontractors or offshore delivery locations?</w:t>
      </w:r>
    </w:p>
    <w:p>
      <w:pPr>
        <w:pStyle w:val="ListBullet"/>
        <w:keepNext w:val="0"/>
        <w:spacing w:before="0" w:after="80" w:line="288" w:lineRule="auto"/>
      </w:pPr>
      <w:r>
        <w:rPr>
          <w:rFonts w:ascii="Arial" w:hAnsi="Arial"/>
          <w:color w:val="0B1428"/>
          <w:sz w:val="20"/>
        </w:rPr>
        <w:t>How will detection content, cases, evidence and configurations be returned at exit?</w:t>
      </w:r>
    </w:p>
    <w:p>
      <w:r>
        <w:br w:type="page"/>
      </w:r>
    </w:p>
    <w:p>
      <w:pPr>
        <w:pStyle w:val="Heading1"/>
        <w:keepNext/>
      </w:pPr>
      <w:r>
        <w:t>Worked example B: enterprise AI procurement</w:t>
      </w:r>
    </w:p>
    <w:p>
      <w:pPr>
        <w:keepNext w:val="0"/>
        <w:spacing w:before="0" w:after="120" w:line="283" w:lineRule="auto"/>
        <w:jc w:val="left"/>
      </w:pPr>
      <w:r>
        <w:rPr>
          <w:rFonts w:ascii="Arial" w:hAnsi="Arial"/>
          <w:b w:val="0"/>
          <w:i w:val="0"/>
          <w:color w:val="0B1428"/>
          <w:sz w:val="21"/>
        </w:rPr>
        <w:t>Scenario: an organisation is selecting a generative AI assistant for staff to retrieve and draft from internal knowledge sources.</w:t>
      </w:r>
    </w:p>
    <w:tbl>
      <w:tblPr>
        <w:tblStyle w:val="TableGrid"/>
        <w:tblW w:type="dxa" w:w="9360"/>
        <w:jc w:val="left"/>
        <w:tblLayout w:type="fixed"/>
        <w:tblLook w:firstColumn="1" w:firstRow="1" w:lastColumn="0" w:lastRow="0" w:noHBand="0" w:noVBand="1" w:val="04A0"/>
        <w:tblInd w:w="120" w:type="dxa"/>
      </w:tblPr>
      <w:tblGrid>
        <w:gridCol w:w="950"/>
        <w:gridCol w:w="3800"/>
        <w:gridCol w:w="2600"/>
        <w:gridCol w:w="2010"/>
      </w:tblGrid>
      <w:tr>
        <w:trPr>
          <w:tblHeader w:val="true"/>
        </w:trPr>
        <w:tc>
          <w:tcPr>
            <w:tcW w:type="dxa" w:w="95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Tier</w:t>
            </w:r>
          </w:p>
        </w:tc>
        <w:tc>
          <w:tcPr>
            <w:tcW w:type="dxa" w:w="380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Example requirement</w:t>
            </w:r>
          </w:p>
        </w:tc>
        <w:tc>
          <w:tcPr>
            <w:tcW w:type="dxa" w:w="260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Evidence request</w:t>
            </w:r>
          </w:p>
        </w:tc>
        <w:tc>
          <w:tcPr>
            <w:tcW w:type="dxa" w:w="201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Evaluation treatment</w:t>
            </w:r>
          </w:p>
        </w:tc>
      </w:tr>
      <w:tr>
        <w:tc>
          <w:tcPr>
            <w:tcW w:type="dxa" w:w="9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Must</w:t>
            </w:r>
          </w:p>
        </w:tc>
        <w:tc>
          <w:tcPr>
            <w:tcW w:type="dxa" w:w="38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Client content, prompts and outputs must not be used to train a shared model without explicit written approval.</w:t>
            </w:r>
          </w:p>
        </w:tc>
        <w:tc>
          <w:tcPr>
            <w:tcW w:type="dxa" w:w="26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Contract clause, architecture and configuration evidence</w:t>
            </w:r>
          </w:p>
        </w:tc>
        <w:tc>
          <w:tcPr>
            <w:tcW w:type="dxa" w:w="201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Pass/fail</w:t>
            </w:r>
          </w:p>
        </w:tc>
      </w:tr>
      <w:tr>
        <w:tc>
          <w:tcPr>
            <w:tcW w:type="dxa" w:w="9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Must</w:t>
            </w:r>
          </w:p>
        </w:tc>
        <w:tc>
          <w:tcPr>
            <w:tcW w:type="dxa" w:w="38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Access to retrieved content must inherit the source system's user permissions.</w:t>
            </w:r>
          </w:p>
        </w:tc>
        <w:tc>
          <w:tcPr>
            <w:tcW w:type="dxa" w:w="26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Client-scripted test using users with different entitlements</w:t>
            </w:r>
          </w:p>
        </w:tc>
        <w:tc>
          <w:tcPr>
            <w:tcW w:type="dxa" w:w="201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Pass/fail</w:t>
            </w:r>
          </w:p>
        </w:tc>
      </w:tr>
      <w:tr>
        <w:tc>
          <w:tcPr>
            <w:tcW w:type="dxa" w:w="9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Should</w:t>
            </w:r>
          </w:p>
        </w:tc>
        <w:tc>
          <w:tcPr>
            <w:tcW w:type="dxa" w:w="38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Generated answers should show traceable source references at passage level.</w:t>
            </w:r>
          </w:p>
        </w:tc>
        <w:tc>
          <w:tcPr>
            <w:tcW w:type="dxa" w:w="26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Demonstration using supplied ambiguous and conflicting sources</w:t>
            </w:r>
          </w:p>
        </w:tc>
        <w:tc>
          <w:tcPr>
            <w:tcW w:type="dxa" w:w="201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Weighted score</w:t>
            </w:r>
          </w:p>
        </w:tc>
      </w:tr>
      <w:tr>
        <w:tc>
          <w:tcPr>
            <w:tcW w:type="dxa" w:w="9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Could</w:t>
            </w:r>
          </w:p>
        </w:tc>
        <w:tc>
          <w:tcPr>
            <w:tcW w:type="dxa" w:w="38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Teams could configure approved task-specific assistants without code.</w:t>
            </w:r>
          </w:p>
        </w:tc>
        <w:tc>
          <w:tcPr>
            <w:tcW w:type="dxa" w:w="26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Governance workflow demonstration and cost impact</w:t>
            </w:r>
          </w:p>
        </w:tc>
        <w:tc>
          <w:tcPr>
            <w:tcW w:type="dxa" w:w="201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Differentiator</w:t>
            </w:r>
          </w:p>
        </w:tc>
      </w:tr>
      <w:tr>
        <w:tc>
          <w:tcPr>
            <w:tcW w:type="dxa" w:w="9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Won't</w:t>
            </w:r>
          </w:p>
        </w:tc>
        <w:tc>
          <w:tcPr>
            <w:tcW w:type="dxa" w:w="38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Autonomous external communications are excluded from this phase.</w:t>
            </w:r>
          </w:p>
        </w:tc>
        <w:tc>
          <w:tcPr>
            <w:tcW w:type="dxa" w:w="26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Acknowledgement and control boundary</w:t>
            </w:r>
          </w:p>
        </w:tc>
        <w:tc>
          <w:tcPr>
            <w:tcW w:type="dxa" w:w="201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Not scored</w:t>
            </w:r>
          </w:p>
        </w:tc>
      </w:tr>
    </w:tbl>
    <w:p>
      <w:pPr>
        <w:spacing w:after="20"/>
      </w:pPr>
    </w:p>
    <w:p>
      <w:pPr>
        <w:pStyle w:val="Heading2"/>
        <w:keepNext/>
      </w:pPr>
      <w:r>
        <w:t>Questions that expose AI risk</w:t>
      </w:r>
    </w:p>
    <w:p>
      <w:pPr>
        <w:pStyle w:val="ListBullet"/>
        <w:keepNext w:val="0"/>
        <w:spacing w:before="0" w:after="80" w:line="288" w:lineRule="auto"/>
      </w:pPr>
      <w:r>
        <w:rPr>
          <w:rFonts w:ascii="Arial" w:hAnsi="Arial"/>
          <w:color w:val="0B1428"/>
          <w:sz w:val="20"/>
        </w:rPr>
        <w:t>Which model and model version will serve the proposed workload, and what changes can occur without client approval?</w:t>
      </w:r>
    </w:p>
    <w:p>
      <w:pPr>
        <w:pStyle w:val="ListBullet"/>
        <w:keepNext w:val="0"/>
        <w:spacing w:before="0" w:after="80" w:line="288" w:lineRule="auto"/>
      </w:pPr>
      <w:r>
        <w:rPr>
          <w:rFonts w:ascii="Arial" w:hAnsi="Arial"/>
          <w:color w:val="0B1428"/>
          <w:sz w:val="20"/>
        </w:rPr>
        <w:t>Show measured performance on the organisation's representative tasks, including failure cases.</w:t>
      </w:r>
    </w:p>
    <w:p>
      <w:pPr>
        <w:pStyle w:val="ListBullet"/>
        <w:keepNext w:val="0"/>
        <w:spacing w:before="0" w:after="80" w:line="288" w:lineRule="auto"/>
      </w:pPr>
      <w:r>
        <w:rPr>
          <w:rFonts w:ascii="Arial" w:hAnsi="Arial"/>
          <w:color w:val="0B1428"/>
          <w:sz w:val="20"/>
        </w:rPr>
        <w:t>How can an administrator investigate a harmful, inaccurate or unauthorised output?</w:t>
      </w:r>
    </w:p>
    <w:p>
      <w:pPr>
        <w:pStyle w:val="ListBullet"/>
        <w:keepNext w:val="0"/>
        <w:spacing w:before="0" w:after="80" w:line="288" w:lineRule="auto"/>
      </w:pPr>
      <w:r>
        <w:rPr>
          <w:rFonts w:ascii="Arial" w:hAnsi="Arial"/>
          <w:color w:val="0B1428"/>
          <w:sz w:val="20"/>
        </w:rPr>
        <w:t>What is the cost impact of retrieval volume, token consumption, model changes and retention?</w:t>
      </w:r>
    </w:p>
    <w:p>
      <w:pPr>
        <w:pStyle w:val="ListBullet"/>
        <w:keepNext w:val="0"/>
        <w:spacing w:before="0" w:after="80" w:line="288" w:lineRule="auto"/>
      </w:pPr>
      <w:r>
        <w:rPr>
          <w:rFonts w:ascii="Arial" w:hAnsi="Arial"/>
          <w:color w:val="0B1428"/>
          <w:sz w:val="20"/>
        </w:rPr>
        <w:t>How does the client export prompts, evaluation sets, configurations and audit evidence at exit?</w:t>
      </w:r>
    </w:p>
    <w:p>
      <w:r>
        <w:br w:type="page"/>
      </w:r>
    </w:p>
    <w:p>
      <w:pPr>
        <w:pStyle w:val="Heading1"/>
        <w:keepNext/>
      </w:pPr>
      <w:r>
        <w:t>Worked example C: enterprise IT procurement</w:t>
      </w:r>
    </w:p>
    <w:p>
      <w:pPr>
        <w:keepNext w:val="0"/>
        <w:spacing w:before="0" w:after="120" w:line="283" w:lineRule="auto"/>
        <w:jc w:val="left"/>
      </w:pPr>
      <w:r>
        <w:rPr>
          <w:rFonts w:ascii="Arial" w:hAnsi="Arial"/>
          <w:b w:val="0"/>
          <w:i w:val="0"/>
          <w:color w:val="0B1428"/>
          <w:sz w:val="21"/>
        </w:rPr>
        <w:t>Scenario: an organisation is selecting an IT service management platform to replace a heavily customised legacy environment.</w:t>
      </w:r>
    </w:p>
    <w:tbl>
      <w:tblPr>
        <w:tblStyle w:val="TableGrid"/>
        <w:tblW w:type="dxa" w:w="9360"/>
        <w:jc w:val="left"/>
        <w:tblLayout w:type="fixed"/>
        <w:tblLook w:firstColumn="1" w:firstRow="1" w:lastColumn="0" w:lastRow="0" w:noHBand="0" w:noVBand="1" w:val="04A0"/>
        <w:tblInd w:w="120" w:type="dxa"/>
      </w:tblPr>
      <w:tblGrid>
        <w:gridCol w:w="950"/>
        <w:gridCol w:w="3800"/>
        <w:gridCol w:w="2600"/>
        <w:gridCol w:w="2010"/>
      </w:tblGrid>
      <w:tr>
        <w:trPr>
          <w:tblHeader w:val="true"/>
        </w:trPr>
        <w:tc>
          <w:tcPr>
            <w:tcW w:type="dxa" w:w="95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Tier</w:t>
            </w:r>
          </w:p>
        </w:tc>
        <w:tc>
          <w:tcPr>
            <w:tcW w:type="dxa" w:w="380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Example requirement</w:t>
            </w:r>
          </w:p>
        </w:tc>
        <w:tc>
          <w:tcPr>
            <w:tcW w:type="dxa" w:w="260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Evidence request</w:t>
            </w:r>
          </w:p>
        </w:tc>
        <w:tc>
          <w:tcPr>
            <w:tcW w:type="dxa" w:w="201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Evaluation treatment</w:t>
            </w:r>
          </w:p>
        </w:tc>
      </w:tr>
      <w:tr>
        <w:tc>
          <w:tcPr>
            <w:tcW w:type="dxa" w:w="9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Must</w:t>
            </w:r>
          </w:p>
        </w:tc>
        <w:tc>
          <w:tcPr>
            <w:tcW w:type="dxa" w:w="38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Support SSO, automated user lifecycle and role-based administration through the organisation's identity platform.</w:t>
            </w:r>
          </w:p>
        </w:tc>
        <w:tc>
          <w:tcPr>
            <w:tcW w:type="dxa" w:w="26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Configuration demonstration and implementation design</w:t>
            </w:r>
          </w:p>
        </w:tc>
        <w:tc>
          <w:tcPr>
            <w:tcW w:type="dxa" w:w="201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Pass/fail</w:t>
            </w:r>
          </w:p>
        </w:tc>
      </w:tr>
      <w:tr>
        <w:tc>
          <w:tcPr>
            <w:tcW w:type="dxa" w:w="9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Must</w:t>
            </w:r>
          </w:p>
        </w:tc>
        <w:tc>
          <w:tcPr>
            <w:tcW w:type="dxa" w:w="38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Migrate agreed active and historical records with reconciled counts and an auditable exception report.</w:t>
            </w:r>
          </w:p>
        </w:tc>
        <w:tc>
          <w:tcPr>
            <w:tcW w:type="dxa" w:w="26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Migration method, sample reconciliation and acceptance plan</w:t>
            </w:r>
          </w:p>
        </w:tc>
        <w:tc>
          <w:tcPr>
            <w:tcW w:type="dxa" w:w="201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Pass/fail</w:t>
            </w:r>
          </w:p>
        </w:tc>
      </w:tr>
      <w:tr>
        <w:tc>
          <w:tcPr>
            <w:tcW w:type="dxa" w:w="9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Should</w:t>
            </w:r>
          </w:p>
        </w:tc>
        <w:tc>
          <w:tcPr>
            <w:tcW w:type="dxa" w:w="38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Support low-code workflow design with governed promotion between environments.</w:t>
            </w:r>
          </w:p>
        </w:tc>
        <w:tc>
          <w:tcPr>
            <w:tcW w:type="dxa" w:w="26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Build a supplied workflow and show change controls</w:t>
            </w:r>
          </w:p>
        </w:tc>
        <w:tc>
          <w:tcPr>
            <w:tcW w:type="dxa" w:w="201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Weighted score</w:t>
            </w:r>
          </w:p>
        </w:tc>
      </w:tr>
      <w:tr>
        <w:tc>
          <w:tcPr>
            <w:tcW w:type="dxa" w:w="9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Could</w:t>
            </w:r>
          </w:p>
        </w:tc>
        <w:tc>
          <w:tcPr>
            <w:tcW w:type="dxa" w:w="38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Provide native service-cost modelling for selected business services.</w:t>
            </w:r>
          </w:p>
        </w:tc>
        <w:tc>
          <w:tcPr>
            <w:tcW w:type="dxa" w:w="26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Demonstration and licence impact</w:t>
            </w:r>
          </w:p>
        </w:tc>
        <w:tc>
          <w:tcPr>
            <w:tcW w:type="dxa" w:w="201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Differentiator</w:t>
            </w:r>
          </w:p>
        </w:tc>
      </w:tr>
      <w:tr>
        <w:tc>
          <w:tcPr>
            <w:tcW w:type="dxa" w:w="95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Won't</w:t>
            </w:r>
          </w:p>
        </w:tc>
        <w:tc>
          <w:tcPr>
            <w:tcW w:type="dxa" w:w="38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Re-creation of every legacy customisation is excluded.</w:t>
            </w:r>
          </w:p>
        </w:tc>
        <w:tc>
          <w:tcPr>
            <w:tcW w:type="dxa" w:w="26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Acknowledgement and rationalisation approach</w:t>
            </w:r>
          </w:p>
        </w:tc>
        <w:tc>
          <w:tcPr>
            <w:tcW w:type="dxa" w:w="201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6"/>
              </w:rPr>
              <w:t>Not scored</w:t>
            </w:r>
          </w:p>
        </w:tc>
      </w:tr>
    </w:tbl>
    <w:p>
      <w:pPr>
        <w:spacing w:after="20"/>
      </w:pPr>
    </w:p>
    <w:p>
      <w:pPr>
        <w:pStyle w:val="Heading2"/>
        <w:keepNext/>
      </w:pPr>
      <w:r>
        <w:t>Questions that expose implementation risk</w:t>
      </w:r>
    </w:p>
    <w:p>
      <w:pPr>
        <w:pStyle w:val="ListBullet"/>
        <w:keepNext w:val="0"/>
        <w:spacing w:before="0" w:after="80" w:line="288" w:lineRule="auto"/>
      </w:pPr>
      <w:r>
        <w:rPr>
          <w:rFonts w:ascii="Arial" w:hAnsi="Arial"/>
          <w:color w:val="0B1428"/>
          <w:sz w:val="20"/>
        </w:rPr>
        <w:t>Which outcomes rely on configuration, custom code, marketplace products or professional services?</w:t>
      </w:r>
    </w:p>
    <w:p>
      <w:pPr>
        <w:pStyle w:val="ListBullet"/>
        <w:keepNext w:val="0"/>
        <w:spacing w:before="0" w:after="80" w:line="288" w:lineRule="auto"/>
      </w:pPr>
      <w:r>
        <w:rPr>
          <w:rFonts w:ascii="Arial" w:hAnsi="Arial"/>
          <w:color w:val="0B1428"/>
          <w:sz w:val="20"/>
        </w:rPr>
        <w:t>Show how a governed workflow moves from design to test and production, including rollback.</w:t>
      </w:r>
    </w:p>
    <w:p>
      <w:pPr>
        <w:pStyle w:val="ListBullet"/>
        <w:keepNext w:val="0"/>
        <w:spacing w:before="0" w:after="80" w:line="288" w:lineRule="auto"/>
      </w:pPr>
      <w:r>
        <w:rPr>
          <w:rFonts w:ascii="Arial" w:hAnsi="Arial"/>
          <w:color w:val="0B1428"/>
          <w:sz w:val="20"/>
        </w:rPr>
        <w:t>What data will not migrate cleanly, and how will exceptions be priced and accepted?</w:t>
      </w:r>
    </w:p>
    <w:p>
      <w:pPr>
        <w:pStyle w:val="ListBullet"/>
        <w:keepNext w:val="0"/>
        <w:spacing w:before="0" w:after="80" w:line="288" w:lineRule="auto"/>
      </w:pPr>
      <w:r>
        <w:rPr>
          <w:rFonts w:ascii="Arial" w:hAnsi="Arial"/>
          <w:color w:val="0B1428"/>
          <w:sz w:val="20"/>
        </w:rPr>
        <w:t>Which integrations are included, and who owns changes when upstream APIs change?</w:t>
      </w:r>
    </w:p>
    <w:p>
      <w:pPr>
        <w:pStyle w:val="ListBullet"/>
        <w:keepNext w:val="0"/>
        <w:spacing w:before="0" w:after="80" w:line="288" w:lineRule="auto"/>
      </w:pPr>
      <w:r>
        <w:rPr>
          <w:rFonts w:ascii="Arial" w:hAnsi="Arial"/>
          <w:color w:val="0B1428"/>
          <w:sz w:val="20"/>
        </w:rPr>
        <w:t>What capabilities or data become inaccessible when the subscription ends?</w:t>
      </w:r>
    </w:p>
    <w:p>
      <w:r>
        <w:br w:type="page"/>
      </w:r>
    </w:p>
    <w:p>
      <w:pPr>
        <w:spacing w:after="240"/>
      </w:pPr>
      <w:r>
        <w:drawing>
          <wp:inline xmlns:a="http://schemas.openxmlformats.org/drawingml/2006/main" xmlns:pic="http://schemas.openxmlformats.org/drawingml/2006/picture">
            <wp:extent cx="5257800" cy="2959085"/>
            <wp:docPr id="3" name="Picture 3"/>
            <wp:cNvGraphicFramePr>
              <a:graphicFrameLocks noChangeAspect="1"/>
            </wp:cNvGraphicFramePr>
            <a:graphic>
              <a:graphicData uri="http://schemas.openxmlformats.org/drawingml/2006/picture">
                <pic:pic>
                  <pic:nvPicPr>
                    <pic:cNvPr id="0" name="cyborium-rfp-evidence-convergence.png"/>
                    <pic:cNvPicPr/>
                  </pic:nvPicPr>
                  <pic:blipFill>
                    <a:blip r:embed="rId11"/>
                    <a:stretch>
                      <a:fillRect/>
                    </a:stretch>
                  </pic:blipFill>
                  <pic:spPr>
                    <a:xfrm>
                      <a:off x="0" y="0"/>
                      <a:ext cx="5257800" cy="2959085"/>
                    </a:xfrm>
                    <a:prstGeom prst="rect"/>
                  </pic:spPr>
                </pic:pic>
              </a:graphicData>
            </a:graphic>
          </wp:inline>
        </w:drawing>
      </w:r>
    </w:p>
    <w:p>
      <w:pPr>
        <w:pStyle w:val="Heading1"/>
        <w:keepNext/>
      </w:pPr>
      <w:r>
        <w:t>Decision record</w:t>
      </w:r>
    </w:p>
    <w:tbl>
      <w:tblPr>
        <w:tblStyle w:val="TableGrid"/>
        <w:tblW w:type="dxa" w:w="9360"/>
        <w:jc w:val="left"/>
        <w:tblLayout w:type="fixed"/>
        <w:tblLook w:firstColumn="1" w:firstRow="1" w:lastColumn="0" w:lastRow="0" w:noHBand="0" w:noVBand="1" w:val="04A0"/>
        <w:tblInd w:w="120" w:type="dxa"/>
      </w:tblPr>
      <w:tblGrid>
        <w:gridCol w:w="2550"/>
        <w:gridCol w:w="6810"/>
      </w:tblGrid>
      <w:tr>
        <w:trPr>
          <w:tblHeader w:val="true"/>
        </w:trPr>
        <w:tc>
          <w:tcPr>
            <w:tcW w:type="dxa" w:w="255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Decision field</w:t>
            </w:r>
          </w:p>
        </w:tc>
        <w:tc>
          <w:tcPr>
            <w:tcW w:type="dxa" w:w="681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Approved record</w:t>
            </w:r>
          </w:p>
        </w:tc>
      </w:tr>
      <w:tr>
        <w:tc>
          <w:tcPr>
            <w:tcW w:type="dxa" w:w="2550"/>
            <w:tcMar>
              <w:top w:w="100" w:type="dxa"/>
              <w:start w:w="120" w:type="dxa"/>
              <w:bottom w:w="100" w:type="dxa"/>
              <w:end w:w="120" w:type="dxa"/>
            </w:tcMar>
            <w:vAlign w:val="center"/>
          </w:tcPr>
          <w:p>
            <w:pPr>
              <w:keepNext w:val="0"/>
              <w:spacing w:before="0" w:after="0" w:line="259" w:lineRule="auto"/>
            </w:pPr>
            <w:r>
              <w:rPr>
                <w:rFonts w:ascii="Arial" w:hAnsi="Arial"/>
                <w:b/>
                <w:color w:val="0B1428"/>
                <w:sz w:val="18"/>
              </w:rPr>
              <w:t>Selected provider</w:t>
            </w:r>
          </w:p>
        </w:tc>
        <w:tc>
          <w:tcPr>
            <w:tcW w:type="dxa" w:w="681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8"/>
              </w:rPr>
            </w:r>
          </w:p>
        </w:tc>
      </w:tr>
      <w:tr>
        <w:tc>
          <w:tcPr>
            <w:tcW w:type="dxa" w:w="2550"/>
            <w:tcMar>
              <w:top w:w="100" w:type="dxa"/>
              <w:start w:w="120" w:type="dxa"/>
              <w:bottom w:w="100" w:type="dxa"/>
              <w:end w:w="120" w:type="dxa"/>
            </w:tcMar>
            <w:vAlign w:val="center"/>
          </w:tcPr>
          <w:p>
            <w:pPr>
              <w:keepNext w:val="0"/>
              <w:spacing w:before="0" w:after="0" w:line="259" w:lineRule="auto"/>
            </w:pPr>
            <w:r>
              <w:rPr>
                <w:rFonts w:ascii="Arial" w:hAnsi="Arial"/>
                <w:b/>
                <w:color w:val="0B1428"/>
                <w:sz w:val="18"/>
              </w:rPr>
              <w:t>Approved scope and term</w:t>
            </w:r>
          </w:p>
        </w:tc>
        <w:tc>
          <w:tcPr>
            <w:tcW w:type="dxa" w:w="681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8"/>
              </w:rPr>
            </w:r>
          </w:p>
        </w:tc>
      </w:tr>
      <w:tr>
        <w:tc>
          <w:tcPr>
            <w:tcW w:type="dxa" w:w="2550"/>
            <w:tcMar>
              <w:top w:w="100" w:type="dxa"/>
              <w:start w:w="120" w:type="dxa"/>
              <w:bottom w:w="100" w:type="dxa"/>
              <w:end w:w="120" w:type="dxa"/>
            </w:tcMar>
            <w:vAlign w:val="center"/>
          </w:tcPr>
          <w:p>
            <w:pPr>
              <w:keepNext w:val="0"/>
              <w:spacing w:before="0" w:after="0" w:line="259" w:lineRule="auto"/>
            </w:pPr>
            <w:r>
              <w:rPr>
                <w:rFonts w:ascii="Arial" w:hAnsi="Arial"/>
                <w:b/>
                <w:color w:val="0B1428"/>
                <w:sz w:val="18"/>
              </w:rPr>
              <w:t>Total evaluated cost</w:t>
            </w:r>
          </w:p>
        </w:tc>
        <w:tc>
          <w:tcPr>
            <w:tcW w:type="dxa" w:w="681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8"/>
              </w:rPr>
            </w:r>
          </w:p>
        </w:tc>
      </w:tr>
      <w:tr>
        <w:tc>
          <w:tcPr>
            <w:tcW w:type="dxa" w:w="2550"/>
            <w:tcMar>
              <w:top w:w="100" w:type="dxa"/>
              <w:start w:w="120" w:type="dxa"/>
              <w:bottom w:w="100" w:type="dxa"/>
              <w:end w:w="120" w:type="dxa"/>
            </w:tcMar>
            <w:vAlign w:val="center"/>
          </w:tcPr>
          <w:p>
            <w:pPr>
              <w:keepNext w:val="0"/>
              <w:spacing w:before="0" w:after="0" w:line="259" w:lineRule="auto"/>
            </w:pPr>
            <w:r>
              <w:rPr>
                <w:rFonts w:ascii="Arial" w:hAnsi="Arial"/>
                <w:b/>
                <w:color w:val="0B1428"/>
                <w:sz w:val="18"/>
              </w:rPr>
              <w:t>Highest-ranked alternative</w:t>
            </w:r>
          </w:p>
        </w:tc>
        <w:tc>
          <w:tcPr>
            <w:tcW w:type="dxa" w:w="681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8"/>
              </w:rPr>
            </w:r>
          </w:p>
        </w:tc>
      </w:tr>
      <w:tr>
        <w:tc>
          <w:tcPr>
            <w:tcW w:type="dxa" w:w="2550"/>
            <w:tcMar>
              <w:top w:w="100" w:type="dxa"/>
              <w:start w:w="120" w:type="dxa"/>
              <w:bottom w:w="100" w:type="dxa"/>
              <w:end w:w="120" w:type="dxa"/>
            </w:tcMar>
            <w:vAlign w:val="center"/>
          </w:tcPr>
          <w:p>
            <w:pPr>
              <w:keepNext w:val="0"/>
              <w:spacing w:before="0" w:after="0" w:line="259" w:lineRule="auto"/>
            </w:pPr>
            <w:r>
              <w:rPr>
                <w:rFonts w:ascii="Arial" w:hAnsi="Arial"/>
                <w:b/>
                <w:color w:val="0B1428"/>
                <w:sz w:val="18"/>
              </w:rPr>
              <w:t>Material Must exceptions</w:t>
            </w:r>
          </w:p>
        </w:tc>
        <w:tc>
          <w:tcPr>
            <w:tcW w:type="dxa" w:w="681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8"/>
              </w:rPr>
            </w:r>
          </w:p>
        </w:tc>
      </w:tr>
      <w:tr>
        <w:tc>
          <w:tcPr>
            <w:tcW w:type="dxa" w:w="2550"/>
            <w:tcMar>
              <w:top w:w="100" w:type="dxa"/>
              <w:start w:w="120" w:type="dxa"/>
              <w:bottom w:w="100" w:type="dxa"/>
              <w:end w:w="120" w:type="dxa"/>
            </w:tcMar>
            <w:vAlign w:val="center"/>
          </w:tcPr>
          <w:p>
            <w:pPr>
              <w:keepNext w:val="0"/>
              <w:spacing w:before="0" w:after="0" w:line="259" w:lineRule="auto"/>
            </w:pPr>
            <w:r>
              <w:rPr>
                <w:rFonts w:ascii="Arial" w:hAnsi="Arial"/>
                <w:b/>
                <w:color w:val="0B1428"/>
                <w:sz w:val="18"/>
              </w:rPr>
              <w:t>Accepted residual risks</w:t>
            </w:r>
          </w:p>
        </w:tc>
        <w:tc>
          <w:tcPr>
            <w:tcW w:type="dxa" w:w="681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8"/>
              </w:rPr>
            </w:r>
          </w:p>
        </w:tc>
      </w:tr>
      <w:tr>
        <w:tc>
          <w:tcPr>
            <w:tcW w:type="dxa" w:w="2550"/>
            <w:tcMar>
              <w:top w:w="100" w:type="dxa"/>
              <w:start w:w="120" w:type="dxa"/>
              <w:bottom w:w="100" w:type="dxa"/>
              <w:end w:w="120" w:type="dxa"/>
            </w:tcMar>
            <w:vAlign w:val="center"/>
          </w:tcPr>
          <w:p>
            <w:pPr>
              <w:keepNext w:val="0"/>
              <w:spacing w:before="0" w:after="0" w:line="259" w:lineRule="auto"/>
            </w:pPr>
            <w:r>
              <w:rPr>
                <w:rFonts w:ascii="Arial" w:hAnsi="Arial"/>
                <w:b/>
                <w:color w:val="0B1428"/>
                <w:sz w:val="18"/>
              </w:rPr>
              <w:t>Key negotiated protections</w:t>
            </w:r>
          </w:p>
        </w:tc>
        <w:tc>
          <w:tcPr>
            <w:tcW w:type="dxa" w:w="681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8"/>
              </w:rPr>
            </w:r>
          </w:p>
        </w:tc>
      </w:tr>
      <w:tr>
        <w:tc>
          <w:tcPr>
            <w:tcW w:type="dxa" w:w="2550"/>
            <w:tcMar>
              <w:top w:w="100" w:type="dxa"/>
              <w:start w:w="120" w:type="dxa"/>
              <w:bottom w:w="100" w:type="dxa"/>
              <w:end w:w="120" w:type="dxa"/>
            </w:tcMar>
            <w:vAlign w:val="center"/>
          </w:tcPr>
          <w:p>
            <w:pPr>
              <w:keepNext w:val="0"/>
              <w:spacing w:before="0" w:after="0" w:line="259" w:lineRule="auto"/>
            </w:pPr>
            <w:r>
              <w:rPr>
                <w:rFonts w:ascii="Arial" w:hAnsi="Arial"/>
                <w:b/>
                <w:color w:val="0B1428"/>
                <w:sz w:val="18"/>
              </w:rPr>
              <w:t>Conditions before signature</w:t>
            </w:r>
          </w:p>
        </w:tc>
        <w:tc>
          <w:tcPr>
            <w:tcW w:type="dxa" w:w="681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8"/>
              </w:rPr>
            </w:r>
          </w:p>
        </w:tc>
      </w:tr>
      <w:tr>
        <w:tc>
          <w:tcPr>
            <w:tcW w:type="dxa" w:w="2550"/>
            <w:tcMar>
              <w:top w:w="100" w:type="dxa"/>
              <w:start w:w="120" w:type="dxa"/>
              <w:bottom w:w="100" w:type="dxa"/>
              <w:end w:w="120" w:type="dxa"/>
            </w:tcMar>
            <w:vAlign w:val="center"/>
          </w:tcPr>
          <w:p>
            <w:pPr>
              <w:keepNext w:val="0"/>
              <w:spacing w:before="0" w:after="0" w:line="259" w:lineRule="auto"/>
            </w:pPr>
            <w:r>
              <w:rPr>
                <w:rFonts w:ascii="Arial" w:hAnsi="Arial"/>
                <w:b/>
                <w:color w:val="0B1428"/>
                <w:sz w:val="18"/>
              </w:rPr>
              <w:t>Decision rationale</w:t>
            </w:r>
          </w:p>
        </w:tc>
        <w:tc>
          <w:tcPr>
            <w:tcW w:type="dxa" w:w="681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8"/>
              </w:rPr>
            </w:r>
          </w:p>
        </w:tc>
      </w:tr>
    </w:tbl>
    <w:p>
      <w:pPr>
        <w:spacing w:after="20"/>
      </w:pPr>
    </w:p>
    <w:p>
      <w:pPr>
        <w:pStyle w:val="Heading2"/>
        <w:keepNext/>
      </w:pPr>
      <w:r>
        <w:t>Approvals</w:t>
      </w:r>
    </w:p>
    <w:tbl>
      <w:tblPr>
        <w:tblStyle w:val="TableGrid"/>
        <w:tblW w:type="dxa" w:w="9360"/>
        <w:jc w:val="left"/>
        <w:tblLayout w:type="fixed"/>
        <w:tblLook w:firstColumn="1" w:firstRow="1" w:lastColumn="0" w:lastRow="0" w:noHBand="0" w:noVBand="1" w:val="04A0"/>
        <w:tblInd w:w="120" w:type="dxa"/>
      </w:tblPr>
      <w:tblGrid>
        <w:gridCol w:w="2200"/>
        <w:gridCol w:w="2600"/>
        <w:gridCol w:w="2600"/>
        <w:gridCol w:w="1960"/>
      </w:tblGrid>
      <w:tr>
        <w:trPr>
          <w:tblHeader w:val="true"/>
        </w:trPr>
        <w:tc>
          <w:tcPr>
            <w:tcW w:type="dxa" w:w="220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Role</w:t>
            </w:r>
          </w:p>
        </w:tc>
        <w:tc>
          <w:tcPr>
            <w:tcW w:type="dxa" w:w="260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Name</w:t>
            </w:r>
          </w:p>
        </w:tc>
        <w:tc>
          <w:tcPr>
            <w:tcW w:type="dxa" w:w="260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Decision</w:t>
            </w:r>
          </w:p>
        </w:tc>
        <w:tc>
          <w:tcPr>
            <w:tcW w:type="dxa" w:w="1960"/>
            <w:shd w:fill="0B1E45"/>
            <w:tcMar>
              <w:top w:w="100" w:type="dxa"/>
              <w:start w:w="120" w:type="dxa"/>
              <w:bottom w:w="100" w:type="dxa"/>
              <w:end w:w="120" w:type="dxa"/>
            </w:tcMar>
            <w:vAlign w:val="center"/>
          </w:tcPr>
          <w:p>
            <w:pPr>
              <w:keepNext w:val="0"/>
              <w:spacing w:before="0" w:after="0" w:line="252" w:lineRule="auto"/>
            </w:pPr>
            <w:r>
              <w:rPr>
                <w:rFonts w:ascii="Arial" w:hAnsi="Arial"/>
                <w:b/>
                <w:color w:val="FFFFFF"/>
                <w:sz w:val="16"/>
              </w:rPr>
              <w:t>Date</w:t>
            </w:r>
          </w:p>
        </w:tc>
      </w:tr>
      <w:tr>
        <w:tc>
          <w:tcPr>
            <w:tcW w:type="dxa" w:w="22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Executive sponsor</w:t>
            </w:r>
          </w:p>
        </w:tc>
        <w:tc>
          <w:tcPr>
            <w:tcW w:type="dxa" w:w="26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r>
          </w:p>
        </w:tc>
        <w:tc>
          <w:tcPr>
            <w:tcW w:type="dxa" w:w="26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Approve / decline</w:t>
            </w:r>
          </w:p>
        </w:tc>
        <w:tc>
          <w:tcPr>
            <w:tcW w:type="dxa" w:w="19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r>
          </w:p>
        </w:tc>
      </w:tr>
      <w:tr>
        <w:tc>
          <w:tcPr>
            <w:tcW w:type="dxa" w:w="22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Procurement</w:t>
            </w:r>
          </w:p>
        </w:tc>
        <w:tc>
          <w:tcPr>
            <w:tcW w:type="dxa" w:w="26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r>
          </w:p>
        </w:tc>
        <w:tc>
          <w:tcPr>
            <w:tcW w:type="dxa" w:w="26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Approve / decline</w:t>
            </w:r>
          </w:p>
        </w:tc>
        <w:tc>
          <w:tcPr>
            <w:tcW w:type="dxa" w:w="19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r>
          </w:p>
        </w:tc>
      </w:tr>
      <w:tr>
        <w:tc>
          <w:tcPr>
            <w:tcW w:type="dxa" w:w="22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Security / risk</w:t>
            </w:r>
          </w:p>
        </w:tc>
        <w:tc>
          <w:tcPr>
            <w:tcW w:type="dxa" w:w="26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r>
          </w:p>
        </w:tc>
        <w:tc>
          <w:tcPr>
            <w:tcW w:type="dxa" w:w="26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Approve / conditions</w:t>
            </w:r>
          </w:p>
        </w:tc>
        <w:tc>
          <w:tcPr>
            <w:tcW w:type="dxa" w:w="19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r>
          </w:p>
        </w:tc>
      </w:tr>
      <w:tr>
        <w:tc>
          <w:tcPr>
            <w:tcW w:type="dxa" w:w="22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Legal / privacy</w:t>
            </w:r>
          </w:p>
        </w:tc>
        <w:tc>
          <w:tcPr>
            <w:tcW w:type="dxa" w:w="26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r>
          </w:p>
        </w:tc>
        <w:tc>
          <w:tcPr>
            <w:tcW w:type="dxa" w:w="26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Approve / conditions</w:t>
            </w:r>
          </w:p>
        </w:tc>
        <w:tc>
          <w:tcPr>
            <w:tcW w:type="dxa" w:w="19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r>
          </w:p>
        </w:tc>
      </w:tr>
      <w:tr>
        <w:tc>
          <w:tcPr>
            <w:tcW w:type="dxa" w:w="22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Financial delegate</w:t>
            </w:r>
          </w:p>
        </w:tc>
        <w:tc>
          <w:tcPr>
            <w:tcW w:type="dxa" w:w="26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r>
          </w:p>
        </w:tc>
        <w:tc>
          <w:tcPr>
            <w:tcW w:type="dxa" w:w="260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t>Approve / decline</w:t>
            </w:r>
          </w:p>
        </w:tc>
        <w:tc>
          <w:tcPr>
            <w:tcW w:type="dxa" w:w="1960"/>
            <w:tcMar>
              <w:top w:w="100" w:type="dxa"/>
              <w:start w:w="120" w:type="dxa"/>
              <w:bottom w:w="100" w:type="dxa"/>
              <w:end w:w="120" w:type="dxa"/>
            </w:tcMar>
            <w:vAlign w:val="center"/>
          </w:tcPr>
          <w:p>
            <w:pPr>
              <w:keepNext w:val="0"/>
              <w:spacing w:before="0" w:after="0" w:line="259" w:lineRule="auto"/>
            </w:pPr>
            <w:r>
              <w:rPr>
                <w:rFonts w:ascii="Arial" w:hAnsi="Arial"/>
                <w:b w:val="0"/>
                <w:color w:val="0B1428"/>
                <w:sz w:val="17"/>
              </w:rPr>
            </w:r>
          </w:p>
        </w:tc>
      </w:tr>
    </w:tbl>
    <w:p>
      <w:pPr>
        <w:spacing w:after="20"/>
      </w:pPr>
    </w:p>
    <w:p>
      <w:pPr>
        <w:pStyle w:val="Heading1"/>
        <w:keepNext/>
      </w:pPr>
      <w:r>
        <w:t>Run the process with CYBORIUM</w:t>
      </w:r>
    </w:p>
    <w:p>
      <w:pPr>
        <w:keepNext w:val="0"/>
        <w:spacing w:before="0" w:after="240" w:line="300" w:lineRule="auto"/>
        <w:jc w:val="left"/>
      </w:pPr>
      <w:r>
        <w:rPr>
          <w:rFonts w:ascii="Arial" w:hAnsi="Arial"/>
          <w:b w:val="0"/>
          <w:i w:val="0"/>
          <w:color w:val="0B1428"/>
          <w:sz w:val="23"/>
        </w:rPr>
        <w:t>The template gives your team a disciplined starting point. CYBORIUM can help define the requirement, map the market, run the evaluation, test evidence, benchmark commercials and support negotiation through to a clear, defensible decision.</w:t>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shd w:fill="EAFBFF"/>
          </w:tcPr>
          <w:p>
            <w:pPr>
              <w:keepNext w:val="0"/>
              <w:spacing w:before="0" w:after="0" w:line="281" w:lineRule="auto"/>
            </w:pPr>
            <w:r>
              <w:rPr>
                <w:rFonts w:ascii="Arial" w:hAnsi="Arial"/>
                <w:b/>
                <w:color w:val="00B8D9"/>
                <w:sz w:val="17"/>
              </w:rPr>
              <w:t xml:space="preserve">ZERO FEE TO THE CLIENT  </w:t>
            </w:r>
            <w:r>
              <w:rPr>
                <w:rFonts w:ascii="Arial" w:hAnsi="Arial"/>
                <w:color w:val="0B1428"/>
                <w:sz w:val="20"/>
              </w:rPr>
              <w:t>If a provider is selected, that provider pays CYBORIUM a capped fee. Your organisation contracts directly with the provider and retains control of the decision. CYBORIUM remains independent and vendor-neutral.</w:t>
            </w:r>
          </w:p>
        </w:tc>
      </w:tr>
    </w:tbl>
    <w:p>
      <w:pPr>
        <w:spacing w:after="20"/>
      </w:pPr>
    </w:p>
    <w:p>
      <w:pPr>
        <w:keepNext w:val="0"/>
        <w:spacing w:before="280" w:after="160" w:line="283" w:lineRule="auto"/>
        <w:jc w:val="left"/>
      </w:pPr>
      <w:r>
        <w:rPr>
          <w:rFonts w:ascii="Arial" w:hAnsi="Arial"/>
          <w:b/>
          <w:i w:val="0"/>
          <w:color w:val="0B1E45"/>
          <w:sz w:val="24"/>
        </w:rPr>
        <w:t>CYBORIUM does not sell, deliver, operate or invoice technology.</w:t>
      </w:r>
    </w:p>
    <w:p>
      <w:pPr>
        <w:keepNext w:val="0"/>
        <w:spacing w:before="0" w:after="280" w:line="283" w:lineRule="auto"/>
        <w:jc w:val="left"/>
      </w:pPr>
      <w:r>
        <w:rPr>
          <w:rFonts w:ascii="Arial" w:hAnsi="Arial"/>
          <w:b/>
          <w:i w:val="0"/>
          <w:color w:val="00B8D9"/>
          <w:sz w:val="22"/>
        </w:rPr>
        <w:t>Request a consultation: https://cyborium.com.au/contact-us/</w:t>
      </w:r>
    </w:p>
    <w:p>
      <w:pPr>
        <w:pStyle w:val="Heading2"/>
        <w:keepNext/>
      </w:pPr>
      <w:r>
        <w:t>Related frameworks</w:t>
      </w:r>
    </w:p>
    <w:p>
      <w:pPr>
        <w:keepNext w:val="0"/>
        <w:spacing w:before="0" w:after="160" w:line="283" w:lineRule="auto"/>
      </w:pPr>
      <w:r>
        <w:rPr>
          <w:rFonts w:ascii="Arial" w:hAnsi="Arial"/>
          <w:b/>
          <w:color w:val="0B1E45"/>
          <w:sz w:val="18"/>
        </w:rPr>
        <w:t>MoSCoW Requirements: A Practical Framework for Enterprise Technology Procurement</w:t>
        <w:br/>
      </w:r>
      <w:r>
        <w:rPr>
          <w:rFonts w:ascii="Arial" w:hAnsi="Arial"/>
          <w:b w:val="0"/>
          <w:color w:val="41506E"/>
          <w:sz w:val="18"/>
        </w:rPr>
        <w:t>https://cyborium.com.au/moscow-requirements-a-practical-framework-for-enterprise-technology-procurement/</w:t>
      </w:r>
    </w:p>
    <w:p>
      <w:pPr>
        <w:keepNext w:val="0"/>
        <w:spacing w:before="0" w:after="160" w:line="283" w:lineRule="auto"/>
      </w:pPr>
      <w:r>
        <w:rPr>
          <w:rFonts w:ascii="Arial" w:hAnsi="Arial"/>
          <w:b/>
          <w:color w:val="0B1E45"/>
          <w:sz w:val="18"/>
        </w:rPr>
        <w:t>Cybersecurity Vendor Evaluation Framework</w:t>
        <w:br/>
      </w:r>
      <w:r>
        <w:rPr>
          <w:rFonts w:ascii="Arial" w:hAnsi="Arial"/>
          <w:b w:val="0"/>
          <w:color w:val="41506E"/>
          <w:sz w:val="18"/>
        </w:rPr>
        <w:t>https://cyborium.com.au/cybersecurity-vendor-evaluation-framework-a-practical-guide-for-enterprise-buyers/</w:t>
      </w:r>
    </w:p>
    <w:p>
      <w:pPr>
        <w:keepNext w:val="0"/>
        <w:spacing w:before="0" w:after="160" w:line="283" w:lineRule="auto"/>
      </w:pPr>
      <w:r>
        <w:rPr>
          <w:rFonts w:ascii="Arial" w:hAnsi="Arial"/>
          <w:b/>
          <w:color w:val="0B1E45"/>
          <w:sz w:val="18"/>
        </w:rPr>
        <w:t>Enterprise AI Vendor Selection Criteria</w:t>
        <w:br/>
      </w:r>
      <w:r>
        <w:rPr>
          <w:rFonts w:ascii="Arial" w:hAnsi="Arial"/>
          <w:b w:val="0"/>
          <w:color w:val="41506E"/>
          <w:sz w:val="18"/>
        </w:rPr>
        <w:t>https://cyborium.com.au/enterprise-ai-vendor-selection-criteria-a-practical-framework-for-australian-buyers/</w:t>
      </w:r>
    </w:p>
    <w:p>
      <w:pPr>
        <w:keepNext w:val="0"/>
        <w:spacing w:before="240" w:after="120" w:line="283" w:lineRule="auto"/>
        <w:jc w:val="left"/>
      </w:pPr>
      <w:r>
        <w:rPr>
          <w:rFonts w:ascii="Arial" w:hAnsi="Arial"/>
          <w:b w:val="0"/>
          <w:i/>
          <w:color w:val="41506E"/>
          <w:sz w:val="16"/>
        </w:rPr>
        <w:t>Copyright CYBORIUM. Free to use and adapt internally. If republished or quoted, cite CYBORIUM and link to the enterprise technology RFP template page.</w:t>
      </w:r>
    </w:p>
    <w:sectPr w:rsidR="00FC693F" w:rsidRPr="0006063C" w:rsidSect="00034616">
      <w:headerReference w:type="default" r:id="rId12"/>
      <w:footerReference w:type="default" r:id="rId13"/>
      <w:pgSz w:w="11906" w:h="16838"/>
      <w:pgMar w:top="1020" w:right="1134" w:bottom="1020" w:left="113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b/>
        <w:color w:val="41506E"/>
        <w:sz w:val="16"/>
      </w:rPr>
      <w:t xml:space="preserve">PAGE </w:t>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keepNext w:val="0"/>
      <w:spacing w:before="0" w:after="0" w:line="240" w:lineRule="auto"/>
      <w:jc w:val="left"/>
    </w:pPr>
    <w:r>
      <w:rPr>
        <w:rFonts w:ascii="Arial" w:hAnsi="Arial"/>
        <w:b/>
        <w:color w:val="41506E"/>
        <w:sz w:val="15"/>
      </w:rPr>
      <w:t>CYBORIUM  /  ENTERPRISE TECHNOLOGY RFP TEMPLATE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00" w:lineRule="auto"/>
    </w:pPr>
    <w:rPr>
      <w:rFonts w:ascii="Arial" w:hAnsi="Arial"/>
      <w:color w:val="0B1428"/>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Arial" w:hAnsi="Arial"/>
      <w:b/>
      <w:bCs/>
      <w:color w:val="0B1E4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Arial" w:hAnsi="Arial"/>
      <w:b/>
      <w:bCs/>
      <w:color w:val="0B1E4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rial" w:hAnsi="Arial"/>
      <w:b/>
      <w:bCs/>
      <w:color w:val="41506E"/>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Arial" w:hAnsi="Arial"/>
      <w:color w:val="0B1428"/>
      <w:sz w:val="20"/>
    </w:rPr>
  </w:style>
  <w:style w:type="paragraph" w:styleId="ListBullet2">
    <w:name w:val="List Bullet 2"/>
    <w:basedOn w:val="Normal"/>
    <w:uiPriority w:val="99"/>
    <w:unhideWhenUsed/>
    <w:rsid w:val="00326F90"/>
    <w:pPr>
      <w:numPr>
        <w:numId w:val="2"/>
      </w:numPr>
      <w:contextualSpacing/>
    </w:pPr>
    <w:rPr>
      <w:rFonts w:ascii="Arial" w:hAnsi="Arial"/>
      <w:color w:val="0B1428"/>
      <w:sz w:val="20"/>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Arial" w:hAnsi="Arial"/>
      <w:color w:val="0B1428"/>
      <w:sz w:val="20"/>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header" Target="header1.xml"/><Relationship Id="rId1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